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7B18" w:rsidRPr="00EE5858" w:rsidRDefault="00EE5858" w:rsidP="00CE7B18">
      <w:pPr>
        <w:spacing w:line="480" w:lineRule="auto"/>
        <w:rPr>
          <w:rFonts w:ascii="Times New Roman" w:hAnsi="Times New Roman" w:cs="Times New Roman"/>
          <w:b/>
          <w:sz w:val="24"/>
          <w:szCs w:val="24"/>
        </w:rPr>
      </w:pPr>
      <w:bookmarkStart w:id="0" w:name="_GoBack"/>
      <w:bookmarkEnd w:id="0"/>
      <w:r>
        <w:rPr>
          <w:rFonts w:ascii="Times New Roman" w:hAnsi="Times New Roman" w:cs="Times New Roman"/>
          <w:b/>
          <w:sz w:val="24"/>
          <w:szCs w:val="24"/>
        </w:rPr>
        <w:t>Supplementary Methods</w:t>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t>Expanded experimental procedures</w:t>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sz w:val="24"/>
          <w:szCs w:val="24"/>
        </w:rPr>
        <w:t xml:space="preserve">The study was approved by the institutional animal research committee and conducted in accordance with the recommendations of the Guide for the Care and Use of Laboratory Animals. Anesthesia was induced by intramuscular injection of </w:t>
      </w:r>
      <w:r w:rsidRPr="00EE5858">
        <w:rPr>
          <w:rFonts w:ascii="Times New Roman" w:hAnsi="Times New Roman" w:cs="Times New Roman"/>
          <w:bCs/>
          <w:sz w:val="24"/>
          <w:szCs w:val="24"/>
        </w:rPr>
        <w:t>ketamine (20 mg/kg), xylazine (2 mg/kg), and midazolam (0.5 mg/kg)</w:t>
      </w:r>
      <w:r w:rsidRPr="00EE5858">
        <w:rPr>
          <w:rFonts w:ascii="Times New Roman" w:hAnsi="Times New Roman" w:cs="Times New Roman"/>
          <w:sz w:val="24"/>
          <w:szCs w:val="24"/>
        </w:rPr>
        <w:t xml:space="preserve"> and maintained by continuous intravenous infusion of ketamine (2 mg/kg/h), xylazine (0.2 mg/kg/h), and midazolam (0.2 mg/kg/h). Mechanical ventilation was adjusted to 30% oxygen and 8-10 ml/kg tidal volume at 15 respirations per minute. Arterial and venous femoral access was achieved using the Seldinger technique. During acute MI induction, an unfraction</w:t>
      </w:r>
      <w:r w:rsidR="00697AE6" w:rsidRPr="00EE5858">
        <w:rPr>
          <w:rFonts w:ascii="Times New Roman" w:hAnsi="Times New Roman" w:cs="Times New Roman"/>
          <w:sz w:val="24"/>
          <w:szCs w:val="24"/>
        </w:rPr>
        <w:t>at</w:t>
      </w:r>
      <w:r w:rsidRPr="00EE5858">
        <w:rPr>
          <w:rFonts w:ascii="Times New Roman" w:hAnsi="Times New Roman" w:cs="Times New Roman"/>
          <w:sz w:val="24"/>
          <w:szCs w:val="24"/>
        </w:rPr>
        <w:t xml:space="preserve">ed heparin </w:t>
      </w:r>
      <w:r w:rsidR="00697AE6" w:rsidRPr="00EE5858">
        <w:rPr>
          <w:rFonts w:ascii="Times New Roman" w:hAnsi="Times New Roman" w:cs="Times New Roman"/>
          <w:sz w:val="24"/>
          <w:szCs w:val="24"/>
        </w:rPr>
        <w:t>intravenous</w:t>
      </w:r>
      <w:r w:rsidRPr="00EE5858">
        <w:rPr>
          <w:rFonts w:ascii="Times New Roman" w:hAnsi="Times New Roman" w:cs="Times New Roman"/>
          <w:sz w:val="24"/>
          <w:szCs w:val="24"/>
        </w:rPr>
        <w:t xml:space="preserve"> bolus was administered (300 </w:t>
      </w:r>
      <w:r w:rsidR="00292BDA" w:rsidRPr="00EE5858">
        <w:rPr>
          <w:rFonts w:ascii="Times New Roman" w:hAnsi="Times New Roman" w:cs="Times New Roman"/>
          <w:sz w:val="24"/>
          <w:szCs w:val="24"/>
        </w:rPr>
        <w:t>IU</w:t>
      </w:r>
      <w:r w:rsidRPr="00EE5858">
        <w:rPr>
          <w:rFonts w:ascii="Times New Roman" w:hAnsi="Times New Roman" w:cs="Times New Roman"/>
          <w:sz w:val="24"/>
          <w:szCs w:val="24"/>
        </w:rPr>
        <w:t>/kg) at the beginning of the procedure, and amiodarone was continuously infused (300 mg/h). After the procedure, femoral sheaths were removed and the animals were allowed to recover. At the final time point of each study, animals were euthanized with sodium pentobarbital, and the heart was removed for histological analysis.</w:t>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t>Ischemic MR model</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 xml:space="preserve">To establish a percutaneous model of ischemic MR in swine, we evaluated the main factors related to the structural LV substrate underlying mitral geometry changes. Most animal models have focused on LCx coronary artery infarction by surgical or percutaneous approaches, the most common being the sheep model of two oblique marginal branch ligations. </w:t>
      </w:r>
      <w:r w:rsidR="00EF4658" w:rsidRPr="00EE5858">
        <w:rPr>
          <w:rFonts w:ascii="Times New Roman" w:hAnsi="Times New Roman" w:cs="Times New Roman"/>
          <w:sz w:val="24"/>
          <w:szCs w:val="24"/>
        </w:rPr>
        <w:fldChar w:fldCharType="begin"/>
      </w:r>
      <w:r w:rsidR="00901D35" w:rsidRPr="00EE5858">
        <w:rPr>
          <w:rFonts w:ascii="Times New Roman" w:hAnsi="Times New Roman" w:cs="Times New Roman"/>
          <w:sz w:val="24"/>
          <w:szCs w:val="24"/>
        </w:rPr>
        <w:instrText xml:space="preserve"> ADDIN EN.CITE &lt;EndNote&gt;&lt;Cite&gt;&lt;Author&gt;Llaneras&lt;/Author&gt;&lt;Year&gt;1994&lt;/Year&gt;&lt;RecNum&gt;27&lt;/RecNum&gt;&lt;record&gt;&lt;rec-number&gt;27&lt;/rec-number&gt;&lt;foreign-keys&gt;&lt;key app="EN" db-id="ztsp9d52u9rs9redfflpfz9qeeswsvwt2dp5"&gt;27&lt;/key&gt;&lt;/foreign-keys&gt;&lt;ref-type name="Journal Article"&gt;17&lt;/ref-type&gt;&lt;contributors&gt;&lt;authors&gt;&lt;author&gt;Llaneras, M. R.&lt;/author&gt;&lt;author&gt;Nance, M. L.&lt;/author&gt;&lt;author&gt;Streicher, J. T.&lt;/author&gt;&lt;author&gt;Lima, J. A.&lt;/author&gt;&lt;author&gt;Savino, J. S.&lt;/author&gt;&lt;author&gt;Bogen, D. K.&lt;/author&gt;&lt;author&gt;Deac, R. F.&lt;/author&gt;&lt;author&gt;Ratcliffe, M. B.&lt;/author&gt;&lt;author&gt;Edmunds, L. H., Jr.&lt;/author&gt;&lt;/authors&gt;&lt;/contributors&gt;&lt;auth-address&gt;Harrison Department of Surgery, School of Medicine, University of Pennsylvania, Philadelphia.&lt;/auth-address&gt;&lt;titles&gt;&lt;title&gt;Large animal model of ischemic mitral regurgitation&lt;/title&gt;&lt;secondary-title&gt;Ann Thorac Surg&lt;/secondary-title&gt;&lt;/titles&gt;&lt;periodical&gt;&lt;full-title&gt;Ann Thorac Surg&lt;/full-title&gt;&lt;/periodical&gt;&lt;pages&gt;432-9&lt;/pages&gt;&lt;volume&gt;57&lt;/volume&gt;&lt;number&gt;2&lt;/number&gt;&lt;edition&gt;1994/02/01&lt;/edition&gt;&lt;keywords&gt;&lt;keyword&gt;Animals&lt;/keyword&gt;&lt;keyword&gt;Coronary Circulation&lt;/keyword&gt;&lt;keyword&gt;Coronary Vessels/*pathology&lt;/keyword&gt;&lt;keyword&gt;Disease Models, Animal&lt;/keyword&gt;&lt;keyword&gt;Echocardiography&lt;/keyword&gt;&lt;keyword&gt;Hemodynamics&lt;/keyword&gt;&lt;keyword&gt;Mitral Valve Insufficiency/etiology/*pathology/physiopathology&lt;/keyword&gt;&lt;keyword&gt;Myocardial Infarction/complications/*pathology/physiopathology&lt;/keyword&gt;&lt;keyword&gt;Sheep&lt;/keyword&gt;&lt;/keywords&gt;&lt;dates&gt;&lt;year&gt;1994&lt;/year&gt;&lt;pub-dates&gt;&lt;date&gt;Feb&lt;/date&gt;&lt;/pub-dates&gt;&lt;/dates&gt;&lt;isbn&gt;0003-4975 (Print)&amp;#xD;0003-4975 (Linking)&lt;/isbn&gt;&lt;accession-num&gt;8311608&lt;/accession-num&gt;&lt;urls&gt;&lt;related-urls&gt;&lt;url&gt;http://www.ncbi.nlm.nih.gov/entrez/query.fcgi?cmd=Retrieve&amp;amp;db=PubMed&amp;amp;dopt=Citation&amp;amp;list_uids=8311608&lt;/url&gt;&lt;/related-urls&gt;&lt;/urls&gt;&lt;language&gt;eng&lt;/language&gt;&lt;/record&gt;&lt;/Cite&gt;&lt;/EndNote&gt;</w:instrText>
      </w:r>
      <w:r w:rsidR="00EF4658" w:rsidRPr="00EE5858">
        <w:rPr>
          <w:rFonts w:ascii="Times New Roman" w:hAnsi="Times New Roman" w:cs="Times New Roman"/>
          <w:sz w:val="24"/>
          <w:szCs w:val="24"/>
        </w:rPr>
        <w:fldChar w:fldCharType="separate"/>
      </w:r>
      <w:r w:rsidR="00012E81" w:rsidRPr="00EE5858">
        <w:rPr>
          <w:rFonts w:ascii="Times New Roman" w:hAnsi="Times New Roman" w:cs="Times New Roman"/>
          <w:sz w:val="24"/>
          <w:szCs w:val="24"/>
        </w:rPr>
        <w:t>(1)</w:t>
      </w:r>
      <w:r w:rsidR="00EF4658" w:rsidRPr="00EE5858">
        <w:rPr>
          <w:rFonts w:ascii="Times New Roman" w:hAnsi="Times New Roman" w:cs="Times New Roman"/>
          <w:sz w:val="24"/>
          <w:szCs w:val="24"/>
        </w:rPr>
        <w:fldChar w:fldCharType="end"/>
      </w:r>
      <w:r w:rsidRPr="00EE5858">
        <w:rPr>
          <w:rFonts w:ascii="Times New Roman" w:hAnsi="Times New Roman" w:cs="Times New Roman"/>
          <w:sz w:val="24"/>
          <w:szCs w:val="24"/>
        </w:rPr>
        <w:t xml:space="preserve">To select the most effective model of ischemic MR, we first compared ischemia-reperfusion using an angioplasty balloon with permanent occlusion with a percutaneous coronary coil. Infarct size was similar with both procedures, but only permanent coronary occlusion led to local remodeling causing ischemic MR during the observation period (Supplementary Figure 1). Second, given the anatomic variation of the porcine LCx artery, </w:t>
      </w:r>
      <w:r w:rsidRPr="00EE5858">
        <w:rPr>
          <w:rFonts w:ascii="Times New Roman" w:hAnsi="Times New Roman" w:cs="Times New Roman"/>
          <w:sz w:val="24"/>
          <w:szCs w:val="24"/>
        </w:rPr>
        <w:lastRenderedPageBreak/>
        <w:t>we evaluated the influence of LCx size on the development of ischemic MR (Supplementary Figure 1). Only occlusions in moderate-to-large LCx arteries consistently reproduced typical features of ischemic MR and were included in the final analysis. In our experience, in ~10% of animals the LCx was too small to create the ischemic MR model with a high probability of success. No animals showed more than trace MR in baseline echocardiograms.</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A 5-French AL-2 guiding catheter was used to engage the left coronary artery. LCx anatomy (including marginal branch size and distribution) was examined using two angiographic projections to select the vessels likely to generate large posterolateral infarctions based on pilot studies. The catheter tip was then positioned at the proximal LCx artery using a 0.014-inch guidewire. A CMR-compatible steel-alloy embolization coil (MREye, Cook Medical, 3-cm long, 3-mm embolus diameter) was deployed using a 0.035-inch vascular wire. In all animals, angiography confirmed total LCx artery occlusion within 5 minutes of coil deployment.</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The data for the LAD ischemic-reperfusion group were obtained from animals included in a previous, unpublished study. For the descriptive purposes of the present study, we minimized the number of animals needed to evaluate our hypothesis. For this reason, while the main remodeling endpoints were available for all the animals in the LAD group (n=21), histological data were only available from a small but representative subset (n=5).</w:t>
      </w:r>
    </w:p>
    <w:p w:rsidR="00901D35" w:rsidRPr="00EE5858" w:rsidRDefault="00901D35" w:rsidP="00CE7B18">
      <w:pPr>
        <w:spacing w:line="480" w:lineRule="auto"/>
        <w:rPr>
          <w:rFonts w:ascii="Times New Roman" w:hAnsi="Times New Roman" w:cs="Times New Roman"/>
          <w:i/>
          <w:sz w:val="24"/>
          <w:szCs w:val="24"/>
        </w:rPr>
      </w:pPr>
      <w:r w:rsidRPr="00EE5858">
        <w:rPr>
          <w:rFonts w:ascii="Times New Roman" w:hAnsi="Times New Roman" w:cs="Times New Roman"/>
          <w:sz w:val="24"/>
          <w:szCs w:val="24"/>
        </w:rPr>
        <w:t>Animals were assigned to the LCx or LAI groups based on the patency of the LA coronary branch, that with minor variability takes off from the proximal LCx artery.</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The coiling procedure in the proximal LCx group was feasible in most animals. Mortality was 28.6% (6/21 animals), and most deaths occurred during the first 2 weeks. Procedural mortality due to refractory ventricular fibrillation occurred in 2 animals.</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 xml:space="preserve">CMR acquisition protocol. </w:t>
      </w:r>
      <w:r w:rsidRPr="00EE5858">
        <w:rPr>
          <w:rFonts w:ascii="Times New Roman" w:hAnsi="Times New Roman" w:cs="Times New Roman"/>
          <w:sz w:val="24"/>
          <w:szCs w:val="24"/>
        </w:rPr>
        <w:t xml:space="preserve">All studies were performed with a Philips 3-T Achieva Tx whole-body scanner (Philips Healthcare, Best, the Netherlands) equipped with a 32-element phased-array cardiac coil. The imaging protocol included a standard segmented cine steady-state free-precession (SSFP) sequence to provide high-quality anatomical references. The imaging parameters for the SSFP sequence were field of view (FOV), 280x280 mm; slice thickness, 6 mm with no gaps; repetition time (TR), 2.8 ms; echo time (TE), 1.4 ms; flip angle, 45; cardiac phases, 30; voxel size, 1.8x1.8 mm; and number of excitations, 3. </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To assess LV scar formation, pigs received intravenous gadopentetate dimeglumine contrast agent (0.20 mmol per kg body weight), and after 10 to 15 min contrast-enhanced imaging was performed using an inversion-recovery spoiled turbo field echo (IR-T1TFE) sequence with the following parameters: FOV, 280x280 mm; voxel size, 1.6x1.6 mm; end-diastolic acquisition; thickness, 6 mm with no gap; TR. 5.6 ms; TE, 2.8 ms; and inversion delay time optimized to null normal myocardium.</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Forward stroke volume was determined from 2-dimensional flow phase-contrast images of a cross-sectional view of the ascending aorta, obtained with a velocity-encoded gradient echo sequence using the minimum upper velocity limit without signal aliasing. The following imaging parameters were applied for 2D flow imaging: repetition time/ echo time, 5.4/3.4 ms; number of averages, 2; slice thickness, 8 mm; voxel size, 2.5 x 2.5 mm; reconstructed cardiac phases, 40.</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t xml:space="preserve">Cardiac magnetic resonance data analysis. </w:t>
      </w:r>
      <w:r w:rsidRPr="00EE5858">
        <w:rPr>
          <w:rFonts w:ascii="Times New Roman" w:hAnsi="Times New Roman" w:cs="Times New Roman"/>
          <w:sz w:val="24"/>
          <w:szCs w:val="24"/>
        </w:rPr>
        <w:t xml:space="preserve">CMR images were analyzed by 2 experienced observers using dedicated software (MR Extended Work Space 2.6, Philips Healthcare, Best, the Netherlands and QMass MR 7.5, Medis, Leiden, the Netherlands). Short-axis epicardial and endocardial contours were manually traced to obtain LV mass and LV volumes at end-diastole (EDV) and end-systole (ESV). Scar tissue in the LV was assessed using delayed </w:t>
      </w:r>
      <w:r w:rsidRPr="00EE5858">
        <w:rPr>
          <w:rFonts w:ascii="Times New Roman" w:hAnsi="Times New Roman" w:cs="Times New Roman"/>
          <w:sz w:val="24"/>
          <w:szCs w:val="24"/>
        </w:rPr>
        <w:lastRenderedPageBreak/>
        <w:t>gadolinium-enhancement; scar tissue was defined as regions with &gt;50% maximum myocardial signal intensity (full width at half maximum), and infarct size was defined as the percentage of LV mass.</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Mitral annulus diameters were measured from standard CMR cine acquisitions (2, 3 and 4-chamber views), as previously reported.</w:t>
      </w:r>
      <w:r w:rsidR="00EF4658" w:rsidRPr="00EE5858">
        <w:rPr>
          <w:rFonts w:ascii="Times New Roman" w:hAnsi="Times New Roman" w:cs="Times New Roman"/>
          <w:sz w:val="24"/>
          <w:szCs w:val="24"/>
        </w:rPr>
        <w:fldChar w:fldCharType="begin">
          <w:fldData xml:space="preserve">PEVuZE5vdGU+PENpdGU+PEF1dGhvcj5IYW48L0F1dGhvcj48WWVhcj4yMDA4PC9ZZWFyPjxSZWNO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</w:fldData>
        </w:fldChar>
      </w:r>
      <w:r w:rsidR="00901D35" w:rsidRPr="00EE5858">
        <w:rPr>
          <w:rFonts w:ascii="Times New Roman" w:hAnsi="Times New Roman" w:cs="Times New Roman"/>
          <w:sz w:val="24"/>
          <w:szCs w:val="24"/>
        </w:rPr>
        <w:instrText xml:space="preserve"> ADDIN EN.CITE </w:instrText>
      </w:r>
      <w:r w:rsidR="00901D35" w:rsidRPr="00EE5858">
        <w:rPr>
          <w:rFonts w:ascii="Times New Roman" w:hAnsi="Times New Roman" w:cs="Times New Roman"/>
          <w:sz w:val="24"/>
          <w:szCs w:val="24"/>
        </w:rPr>
        <w:fldChar w:fldCharType="begin">
          <w:fldData xml:space="preserve">PEVuZE5vdGU+PENpdGU+PEF1dGhvcj5IYW48L0F1dGhvcj48WWVhcj4yMDA4PC9ZZWFyPjxSZWNO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</w:fldData>
        </w:fldChar>
      </w:r>
      <w:r w:rsidR="00901D35" w:rsidRPr="00EE5858">
        <w:rPr>
          <w:rFonts w:ascii="Times New Roman" w:hAnsi="Times New Roman" w:cs="Times New Roman"/>
          <w:sz w:val="24"/>
          <w:szCs w:val="24"/>
        </w:rPr>
        <w:instrText xml:space="preserve"> ADDIN EN.CITE.DATA </w:instrText>
      </w:r>
      <w:r w:rsidR="00901D35" w:rsidRPr="00EE5858">
        <w:rPr>
          <w:rFonts w:ascii="Times New Roman" w:hAnsi="Times New Roman" w:cs="Times New Roman"/>
          <w:sz w:val="24"/>
          <w:szCs w:val="24"/>
        </w:rPr>
      </w:r>
      <w:r w:rsidR="00901D35" w:rsidRPr="00EE5858">
        <w:rPr>
          <w:rFonts w:ascii="Times New Roman" w:hAnsi="Times New Roman" w:cs="Times New Roman"/>
          <w:sz w:val="24"/>
          <w:szCs w:val="24"/>
        </w:rPr>
        <w:fldChar w:fldCharType="end"/>
      </w:r>
      <w:r w:rsidR="00EF4658" w:rsidRPr="00EE5858">
        <w:rPr>
          <w:rFonts w:ascii="Times New Roman" w:hAnsi="Times New Roman" w:cs="Times New Roman"/>
          <w:sz w:val="24"/>
          <w:szCs w:val="24"/>
        </w:rPr>
      </w:r>
      <w:r w:rsidR="00EF4658" w:rsidRPr="00EE5858">
        <w:rPr>
          <w:rFonts w:ascii="Times New Roman" w:hAnsi="Times New Roman" w:cs="Times New Roman"/>
          <w:sz w:val="24"/>
          <w:szCs w:val="24"/>
        </w:rPr>
        <w:fldChar w:fldCharType="separate"/>
      </w:r>
      <w:r w:rsidR="00012E81" w:rsidRPr="00EE5858">
        <w:rPr>
          <w:rFonts w:ascii="Times New Roman" w:hAnsi="Times New Roman" w:cs="Times New Roman"/>
          <w:sz w:val="24"/>
          <w:szCs w:val="24"/>
        </w:rPr>
        <w:t>(2)</w:t>
      </w:r>
      <w:r w:rsidR="00EF4658" w:rsidRPr="00EE5858">
        <w:rPr>
          <w:rFonts w:ascii="Times New Roman" w:hAnsi="Times New Roman" w:cs="Times New Roman"/>
          <w:sz w:val="24"/>
          <w:szCs w:val="24"/>
        </w:rPr>
        <w:fldChar w:fldCharType="end"/>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t>Invasive measures of pulmonary pressure.</w:t>
      </w:r>
      <w:r w:rsidRPr="00EE5858">
        <w:rPr>
          <w:rFonts w:ascii="Times New Roman" w:hAnsi="Times New Roman" w:cs="Times New Roman"/>
          <w:sz w:val="24"/>
          <w:szCs w:val="24"/>
        </w:rPr>
        <w:t xml:space="preserve"> Right-sided cardiac catheterization was performed using a 7.5-Fr Swan-Ganz (Edwards Lifesciences), and hemodynamic measurements were obtained under mechanical ventilation, oxygen inspiratory fraction 30% and tidal volume 7 ml/kg.</w:t>
      </w:r>
      <w:r w:rsidRPr="00EE5858">
        <w:rPr>
          <w:rFonts w:ascii="Times New Roman" w:hAnsi="Times New Roman" w:cs="Times New Roman"/>
          <w:b/>
          <w:sz w:val="24"/>
          <w:szCs w:val="24"/>
        </w:rPr>
        <w:t xml:space="preserve"> </w:t>
      </w:r>
      <w:r w:rsidRPr="00EE5858">
        <w:rPr>
          <w:rFonts w:ascii="Times New Roman" w:hAnsi="Times New Roman" w:cs="Times New Roman"/>
          <w:sz w:val="24"/>
          <w:szCs w:val="24"/>
        </w:rPr>
        <w:t>Cardiac output was measured by the thermodilution method. Right-sided cardiac catheterization was performed in the LCx, LAI, and control groups at 8-week follow-up.</w:t>
      </w:r>
    </w:p>
    <w:p w:rsidR="00901D35" w:rsidRPr="00EE5858" w:rsidRDefault="00901D35" w:rsidP="00901D35">
      <w:pPr>
        <w:spacing w:line="480" w:lineRule="auto"/>
        <w:rPr>
          <w:rFonts w:ascii="Times New Roman" w:hAnsi="Times New Roman" w:cs="Times New Roman"/>
          <w:sz w:val="24"/>
          <w:szCs w:val="24"/>
        </w:rPr>
      </w:pPr>
      <w:r w:rsidRPr="00EE5858">
        <w:rPr>
          <w:rFonts w:ascii="Times New Roman" w:hAnsi="Times New Roman" w:cs="Times New Roman"/>
          <w:b/>
          <w:sz w:val="24"/>
          <w:szCs w:val="24"/>
        </w:rPr>
        <w:t>Histology.</w:t>
      </w:r>
      <w:r w:rsidRPr="00EE5858">
        <w:rPr>
          <w:rFonts w:ascii="Times New Roman" w:hAnsi="Times New Roman" w:cs="Times New Roman"/>
          <w:sz w:val="24"/>
          <w:szCs w:val="24"/>
        </w:rPr>
        <w:t xml:space="preserve"> Heart sections of 4 μm were deparaffinized and the antigens were subsequently retrieved with proteinase K for anti-macrophage MAC387 (Abcam ab22506) staining. Endogenous peroxidase was blocked by incubation in H2O2 (DAKO) for 5 minutes. Sections were then blocked with bovine serum albumin (BSA) and incubated with a HRP-conjugated secondary antibody. Immunostaining was visualized with 3,3´- diaminobenzidine (DAB) and counterstained with hematoxylin. All the immunohistochemical procedures were performed using an automated autostainer (Autostainer Plus®, Dako).</w:t>
      </w:r>
    </w:p>
    <w:p w:rsidR="00901D35" w:rsidRPr="00EE5858" w:rsidRDefault="00901D35" w:rsidP="00901D35">
      <w:pPr>
        <w:spacing w:line="480" w:lineRule="auto"/>
        <w:rPr>
          <w:rFonts w:ascii="Times New Roman" w:hAnsi="Times New Roman" w:cs="Times New Roman"/>
          <w:sz w:val="24"/>
          <w:szCs w:val="24"/>
        </w:rPr>
      </w:pPr>
      <w:r w:rsidRPr="00EE5858">
        <w:rPr>
          <w:rFonts w:ascii="Times New Roman" w:hAnsi="Times New Roman" w:cs="Times New Roman"/>
          <w:sz w:val="24"/>
          <w:szCs w:val="24"/>
        </w:rPr>
        <w:t>For image analysis the samples were digitalized with a scanner (Nanozoomer-RS C110730®, Hamamatsu) and analyzed using image analysis software (Tissuemorph®, Visiopharm).</w:t>
      </w:r>
    </w:p>
    <w:p w:rsidR="00901D35" w:rsidRPr="00EE5858" w:rsidRDefault="00901D35"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t xml:space="preserve">Statistics. </w:t>
      </w:r>
      <w:r w:rsidRPr="00EE5858">
        <w:rPr>
          <w:rFonts w:ascii="Times New Roman" w:hAnsi="Times New Roman" w:cs="Times New Roman"/>
          <w:sz w:val="24"/>
          <w:szCs w:val="24"/>
        </w:rPr>
        <w:t xml:space="preserve">Sample sizes were estimated on the basis of observed differences for the main quantitative parameters in prior reports in which similar animal models of ischemic MR were </w:t>
      </w:r>
      <w:r w:rsidRPr="00EE5858">
        <w:rPr>
          <w:rFonts w:ascii="Times New Roman" w:hAnsi="Times New Roman" w:cs="Times New Roman"/>
          <w:sz w:val="24"/>
          <w:szCs w:val="24"/>
        </w:rPr>
        <w:lastRenderedPageBreak/>
        <w:t>created.</w:t>
      </w:r>
      <w:r w:rsidRPr="00EE5858">
        <w:rPr>
          <w:rFonts w:ascii="Times New Roman" w:hAnsi="Times New Roman" w:cs="Times New Roman"/>
          <w:sz w:val="24"/>
          <w:szCs w:val="24"/>
        </w:rPr>
        <w:fldChar w:fldCharType="begin">
          <w:fldData xml:space="preserve">PEVuZE5vdGU+PENpdGU+PEF1dGhvcj5TenltYW5za2k8L0F1dGhvcj48WWVhcj4yMDEyPC9ZZWFy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==
</w:fldData>
        </w:fldChar>
      </w:r>
      <w:r w:rsidRPr="00EE5858">
        <w:rPr>
          <w:rFonts w:ascii="Times New Roman" w:hAnsi="Times New Roman" w:cs="Times New Roman"/>
          <w:sz w:val="24"/>
          <w:szCs w:val="24"/>
        </w:rPr>
        <w:instrText xml:space="preserve"> ADDIN EN.CITE </w:instrText>
      </w:r>
      <w:r w:rsidRPr="00EE5858">
        <w:rPr>
          <w:rFonts w:ascii="Times New Roman" w:hAnsi="Times New Roman" w:cs="Times New Roman"/>
          <w:sz w:val="24"/>
          <w:szCs w:val="24"/>
        </w:rPr>
        <w:fldChar w:fldCharType="begin">
          <w:fldData xml:space="preserve">PEVuZE5vdGU+PENpdGU+PEF1dGhvcj5TenltYW5za2k8L0F1dGhvcj48WWVhcj4yMDEyPC9ZZWFy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==
</w:fldData>
        </w:fldChar>
      </w:r>
      <w:r w:rsidRPr="00EE5858">
        <w:rPr>
          <w:rFonts w:ascii="Times New Roman" w:hAnsi="Times New Roman" w:cs="Times New Roman"/>
          <w:sz w:val="24"/>
          <w:szCs w:val="24"/>
        </w:rPr>
        <w:instrText xml:space="preserve"> ADDIN EN.CITE.DATA </w:instrText>
      </w:r>
      <w:r w:rsidRPr="00EE5858">
        <w:rPr>
          <w:rFonts w:ascii="Times New Roman" w:hAnsi="Times New Roman" w:cs="Times New Roman"/>
          <w:sz w:val="24"/>
          <w:szCs w:val="24"/>
        </w:rPr>
      </w:r>
      <w:r w:rsidRPr="00EE5858">
        <w:rPr>
          <w:rFonts w:ascii="Times New Roman" w:hAnsi="Times New Roman" w:cs="Times New Roman"/>
          <w:sz w:val="24"/>
          <w:szCs w:val="24"/>
        </w:rPr>
        <w:fldChar w:fldCharType="end"/>
      </w:r>
      <w:r w:rsidRPr="00EE5858">
        <w:rPr>
          <w:rFonts w:ascii="Times New Roman" w:hAnsi="Times New Roman" w:cs="Times New Roman"/>
          <w:sz w:val="24"/>
          <w:szCs w:val="24"/>
        </w:rPr>
      </w:r>
      <w:r w:rsidRPr="00EE5858">
        <w:rPr>
          <w:rFonts w:ascii="Times New Roman" w:hAnsi="Times New Roman" w:cs="Times New Roman"/>
          <w:sz w:val="24"/>
          <w:szCs w:val="24"/>
        </w:rPr>
        <w:fldChar w:fldCharType="separate"/>
      </w:r>
      <w:r w:rsidRPr="00EE5858">
        <w:rPr>
          <w:rFonts w:ascii="Times New Roman" w:hAnsi="Times New Roman" w:cs="Times New Roman"/>
          <w:sz w:val="24"/>
          <w:szCs w:val="24"/>
        </w:rPr>
        <w:t>(3)</w:t>
      </w:r>
      <w:r w:rsidRPr="00EE5858">
        <w:rPr>
          <w:rFonts w:ascii="Times New Roman" w:hAnsi="Times New Roman" w:cs="Times New Roman"/>
          <w:sz w:val="24"/>
          <w:szCs w:val="24"/>
        </w:rPr>
        <w:fldChar w:fldCharType="end"/>
      </w:r>
      <w:r w:rsidRPr="00EE5858">
        <w:rPr>
          <w:rFonts w:ascii="Times New Roman" w:hAnsi="Times New Roman" w:cs="Times New Roman"/>
          <w:sz w:val="24"/>
          <w:szCs w:val="24"/>
        </w:rPr>
        <w:t xml:space="preserve"> For the LAD group, we used data from a group of untreated animals from a prior, unpublished study, with the purpose of minimizing the total number of animals.</w:t>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t>Supplementary Results.</w:t>
      </w:r>
    </w:p>
    <w:p w:rsidR="00901D35" w:rsidRPr="00EE5858" w:rsidRDefault="00901D35" w:rsidP="00901D35">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t>Time course of changes in mitral annulus diameters.</w:t>
      </w:r>
    </w:p>
    <w:p w:rsidR="00901D35" w:rsidRPr="00EE5858" w:rsidRDefault="00901D35"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Mitral annular diameters increased at 1 week in both LCx and LAI models compared to control animals (Table S1). At this early time point, both 2 and 3-chamber diameters were increased. At the 8-week time point, 3-chamber diameters were larger in the LCx and LAI groups, although there were only significant compared to the LAD group. When both ischemic MR models were compared (LCx vs LAI groups), only the 3-chamber diameter at the 1-week time point was significantly larger in the LAI group (33.1 mm vs 29 mm for LCx and LAI, respectively, p&lt;0.05).</w:t>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t xml:space="preserve">Impact of LA remodeling and ischemic MR on pulmonary pressures. </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 xml:space="preserve">At 8 weeks post-MI, LAI animals had a worse pulmonary hemodynamic profile than controls, with a trend toward high PA pressures and resistances (Table S2). Of the 8 LAI animals, 6 had a mean pulmonary artery pressure equal to or greater than 25 mmHg, indicating pulmonary hypertension. In 2 of these pigs, mean pulmonary hypertension was severe (PA pressures exceeding 40 mmHg); in these animals, hepatic congestion as a consequence of heart failure was observed (Supplementary Figure </w:t>
      </w:r>
      <w:r w:rsidR="00901D35" w:rsidRPr="00EE5858">
        <w:rPr>
          <w:rFonts w:ascii="Times New Roman" w:hAnsi="Times New Roman" w:cs="Times New Roman"/>
          <w:sz w:val="24"/>
          <w:szCs w:val="24"/>
        </w:rPr>
        <w:t>6</w:t>
      </w:r>
      <w:r w:rsidRPr="00EE5858">
        <w:rPr>
          <w:rFonts w:ascii="Times New Roman" w:hAnsi="Times New Roman" w:cs="Times New Roman"/>
          <w:sz w:val="24"/>
          <w:szCs w:val="24"/>
        </w:rPr>
        <w:t>). Normal PA pressures were observed in the LCx animals (Table S2).</w:t>
      </w:r>
    </w:p>
    <w:p w:rsidR="00C00C4E" w:rsidRPr="00EE5858" w:rsidRDefault="00901D35" w:rsidP="00CE7B18">
      <w:pPr>
        <w:spacing w:line="480" w:lineRule="auto"/>
        <w:rPr>
          <w:rFonts w:ascii="Times New Roman" w:hAnsi="Times New Roman" w:cs="Times New Roman"/>
          <w:sz w:val="24"/>
          <w:szCs w:val="24"/>
        </w:rPr>
        <w:sectPr w:rsidR="00C00C4E" w:rsidRPr="00EE5858" w:rsidSect="00A655A9">
          <w:pgSz w:w="11906" w:h="16838"/>
          <w:pgMar w:top="1440" w:right="1440" w:bottom="1440" w:left="1440" w:header="720" w:footer="720" w:gutter="0"/>
          <w:cols w:space="720"/>
          <w:docGrid w:linePitch="360"/>
        </w:sectPr>
      </w:pPr>
      <w:r w:rsidRPr="00EE5858">
        <w:rPr>
          <w:rFonts w:ascii="Times New Roman" w:hAnsi="Times New Roman" w:cs="Times New Roman"/>
          <w:sz w:val="24"/>
          <w:szCs w:val="24"/>
        </w:rPr>
        <w:t xml:space="preserve">In the LCx and LAI groups, PA pressure was better correlated with ischemic MR severity (rho=0.83, </w:t>
      </w:r>
      <w:r w:rsidRPr="00EE5858">
        <w:rPr>
          <w:rFonts w:ascii="Times New Roman" w:hAnsi="Times New Roman" w:cs="Times New Roman"/>
          <w:i/>
          <w:sz w:val="24"/>
          <w:szCs w:val="24"/>
        </w:rPr>
        <w:t>P</w:t>
      </w:r>
      <w:r w:rsidRPr="00EE5858">
        <w:rPr>
          <w:rFonts w:ascii="Times New Roman" w:hAnsi="Times New Roman" w:cs="Times New Roman"/>
          <w:sz w:val="24"/>
          <w:szCs w:val="24"/>
        </w:rPr>
        <w:t xml:space="preserve">&lt;0.01) and LA maximal area (rho=0.76, </w:t>
      </w:r>
      <w:r w:rsidRPr="00EE5858">
        <w:rPr>
          <w:rFonts w:ascii="Times New Roman" w:hAnsi="Times New Roman" w:cs="Times New Roman"/>
          <w:i/>
          <w:sz w:val="24"/>
          <w:szCs w:val="24"/>
        </w:rPr>
        <w:t>P</w:t>
      </w:r>
      <w:r w:rsidRPr="00EE5858">
        <w:rPr>
          <w:rFonts w:ascii="Times New Roman" w:hAnsi="Times New Roman" w:cs="Times New Roman"/>
          <w:sz w:val="24"/>
          <w:szCs w:val="24"/>
        </w:rPr>
        <w:t xml:space="preserve">&lt;0.001) than with LV parameters such as LVEF (rho=-0.60, </w:t>
      </w:r>
      <w:r w:rsidRPr="00EE5858">
        <w:rPr>
          <w:rFonts w:ascii="Times New Roman" w:hAnsi="Times New Roman" w:cs="Times New Roman"/>
          <w:i/>
          <w:sz w:val="24"/>
          <w:szCs w:val="24"/>
        </w:rPr>
        <w:t>P</w:t>
      </w:r>
      <w:r w:rsidRPr="00EE5858">
        <w:rPr>
          <w:rFonts w:ascii="Times New Roman" w:hAnsi="Times New Roman" w:cs="Times New Roman"/>
          <w:sz w:val="24"/>
          <w:szCs w:val="24"/>
        </w:rPr>
        <w:t xml:space="preserve">=0.009) and LVESV (rho=0.57, </w:t>
      </w:r>
      <w:r w:rsidRPr="00EE5858">
        <w:rPr>
          <w:rFonts w:ascii="Times New Roman" w:hAnsi="Times New Roman" w:cs="Times New Roman"/>
          <w:i/>
          <w:sz w:val="24"/>
          <w:szCs w:val="24"/>
        </w:rPr>
        <w:t>P</w:t>
      </w:r>
      <w:r w:rsidRPr="00EE5858">
        <w:rPr>
          <w:rFonts w:ascii="Times New Roman" w:hAnsi="Times New Roman" w:cs="Times New Roman"/>
          <w:sz w:val="24"/>
          <w:szCs w:val="24"/>
        </w:rPr>
        <w:t xml:space="preserve">=0.04) (Supplementary Figure </w:t>
      </w:r>
      <w:r w:rsidR="008B6048" w:rsidRPr="00EE5858">
        <w:rPr>
          <w:rFonts w:ascii="Times New Roman" w:hAnsi="Times New Roman" w:cs="Times New Roman"/>
          <w:sz w:val="24"/>
          <w:szCs w:val="24"/>
        </w:rPr>
        <w:t>7</w:t>
      </w:r>
      <w:r w:rsidRPr="00EE5858">
        <w:rPr>
          <w:rFonts w:ascii="Times New Roman" w:hAnsi="Times New Roman" w:cs="Times New Roman"/>
          <w:sz w:val="24"/>
          <w:szCs w:val="24"/>
        </w:rPr>
        <w:t>).</w:t>
      </w:r>
    </w:p>
    <w:p w:rsidR="00C00C4E" w:rsidRPr="00EE5858" w:rsidRDefault="008D01FD" w:rsidP="00C00C4E">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Supplementary table </w:t>
      </w:r>
      <w:r w:rsidR="00C00C4E" w:rsidRPr="00EE5858">
        <w:rPr>
          <w:rFonts w:ascii="Times New Roman" w:hAnsi="Times New Roman" w:cs="Times New Roman"/>
          <w:b/>
          <w:sz w:val="24"/>
          <w:szCs w:val="24"/>
        </w:rPr>
        <w:t>1.</w:t>
      </w:r>
    </w:p>
    <w:tbl>
      <w:tblPr>
        <w:tblW w:w="15657" w:type="dxa"/>
        <w:tblInd w:w="-110" w:type="dxa"/>
        <w:tblCellMar>
          <w:left w:w="70" w:type="dxa"/>
          <w:right w:w="70" w:type="dxa"/>
        </w:tblCellMar>
        <w:tblLook w:val="04A0" w:firstRow="1" w:lastRow="0" w:firstColumn="1" w:lastColumn="0" w:noHBand="0" w:noVBand="1"/>
      </w:tblPr>
      <w:tblGrid>
        <w:gridCol w:w="2660"/>
        <w:gridCol w:w="1671"/>
        <w:gridCol w:w="1546"/>
        <w:gridCol w:w="1670"/>
        <w:gridCol w:w="1670"/>
        <w:gridCol w:w="1726"/>
        <w:gridCol w:w="1674"/>
        <w:gridCol w:w="1520"/>
        <w:gridCol w:w="1520"/>
      </w:tblGrid>
      <w:tr w:rsidR="00C00C4E" w:rsidRPr="00EE5858" w:rsidTr="002A5C96">
        <w:trPr>
          <w:trHeight w:val="300"/>
        </w:trPr>
        <w:tc>
          <w:tcPr>
            <w:tcW w:w="26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ind w:firstLineChars="200" w:firstLine="480"/>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 </w:t>
            </w:r>
          </w:p>
        </w:tc>
        <w:tc>
          <w:tcPr>
            <w:tcW w:w="3217" w:type="dxa"/>
            <w:gridSpan w:val="2"/>
            <w:tcBorders>
              <w:top w:val="single" w:sz="4" w:space="0" w:color="auto"/>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Control</w:t>
            </w:r>
          </w:p>
        </w:tc>
        <w:tc>
          <w:tcPr>
            <w:tcW w:w="3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LCx</w:t>
            </w:r>
          </w:p>
        </w:tc>
        <w:tc>
          <w:tcPr>
            <w:tcW w:w="3400" w:type="dxa"/>
            <w:gridSpan w:val="2"/>
            <w:tcBorders>
              <w:top w:val="single" w:sz="4" w:space="0" w:color="auto"/>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LAI</w:t>
            </w:r>
          </w:p>
        </w:tc>
        <w:tc>
          <w:tcPr>
            <w:tcW w:w="3040" w:type="dxa"/>
            <w:gridSpan w:val="2"/>
            <w:tcBorders>
              <w:top w:val="single" w:sz="4" w:space="0" w:color="auto"/>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LAD</w:t>
            </w:r>
          </w:p>
        </w:tc>
      </w:tr>
      <w:tr w:rsidR="00C00C4E" w:rsidRPr="00EE5858" w:rsidTr="002A5C96">
        <w:trPr>
          <w:trHeight w:val="300"/>
        </w:trPr>
        <w:tc>
          <w:tcPr>
            <w:tcW w:w="2660" w:type="dxa"/>
            <w:vMerge/>
            <w:tcBorders>
              <w:top w:val="single" w:sz="4" w:space="0" w:color="auto"/>
              <w:left w:val="single" w:sz="4" w:space="0" w:color="auto"/>
              <w:bottom w:val="single" w:sz="4" w:space="0" w:color="auto"/>
              <w:right w:val="single" w:sz="4" w:space="0" w:color="auto"/>
            </w:tcBorders>
            <w:vAlign w:val="center"/>
            <w:hideMark/>
          </w:tcPr>
          <w:p w:rsidR="00C00C4E" w:rsidRPr="00EE5858" w:rsidRDefault="00C00C4E" w:rsidP="002A5C96">
            <w:pPr>
              <w:spacing w:after="0" w:line="240" w:lineRule="auto"/>
              <w:rPr>
                <w:rFonts w:ascii="Times New Roman" w:eastAsia="Times New Roman" w:hAnsi="Times New Roman" w:cs="Times New Roman"/>
                <w:color w:val="000000"/>
                <w:sz w:val="24"/>
                <w:szCs w:val="24"/>
                <w:lang w:eastAsia="es-ES"/>
              </w:rPr>
            </w:pPr>
          </w:p>
        </w:tc>
        <w:tc>
          <w:tcPr>
            <w:tcW w:w="1671"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Baseline</w:t>
            </w:r>
          </w:p>
        </w:tc>
        <w:tc>
          <w:tcPr>
            <w:tcW w:w="154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8 weeks</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1 week</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8 weeks</w:t>
            </w:r>
          </w:p>
        </w:tc>
        <w:tc>
          <w:tcPr>
            <w:tcW w:w="172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1 week</w:t>
            </w:r>
          </w:p>
        </w:tc>
        <w:tc>
          <w:tcPr>
            <w:tcW w:w="1674"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8 weeks</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1 week</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8 weeks</w:t>
            </w:r>
          </w:p>
        </w:tc>
      </w:tr>
      <w:tr w:rsidR="00C00C4E" w:rsidRPr="00EE5858" w:rsidTr="002A5C9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ind w:firstLineChars="200" w:firstLine="480"/>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MAD 2 chamber (mm)</w:t>
            </w:r>
          </w:p>
        </w:tc>
        <w:tc>
          <w:tcPr>
            <w:tcW w:w="1671"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30.7 (30-32)</w:t>
            </w:r>
          </w:p>
        </w:tc>
        <w:tc>
          <w:tcPr>
            <w:tcW w:w="154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39.2 (36.2-41.3)</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36.4 (36.1-36.6)*</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41.7 (41.5-43.3)‡</w:t>
            </w:r>
          </w:p>
        </w:tc>
        <w:tc>
          <w:tcPr>
            <w:tcW w:w="172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35.9 (34.5-37.0) *</w:t>
            </w:r>
          </w:p>
        </w:tc>
        <w:tc>
          <w:tcPr>
            <w:tcW w:w="1674"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40.1 (37.8-42.0)</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33.4 (31.6-34.1)</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35.9 (34-39)</w:t>
            </w:r>
          </w:p>
        </w:tc>
      </w:tr>
      <w:tr w:rsidR="00C00C4E" w:rsidRPr="00EE5858" w:rsidTr="002A5C9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ind w:firstLineChars="200" w:firstLine="480"/>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MAD 3 chamber (mm)</w:t>
            </w:r>
          </w:p>
        </w:tc>
        <w:tc>
          <w:tcPr>
            <w:tcW w:w="1671"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23 (22.4-23.0)</w:t>
            </w:r>
          </w:p>
        </w:tc>
        <w:tc>
          <w:tcPr>
            <w:tcW w:w="154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29.2  (28.1-30.2)</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29.1 (28.4-30.3)*</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38.0 (35.5-39.0)‡</w:t>
            </w:r>
          </w:p>
        </w:tc>
        <w:tc>
          <w:tcPr>
            <w:tcW w:w="172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33.1 (30.8-34)*‡</w:t>
            </w:r>
          </w:p>
        </w:tc>
        <w:tc>
          <w:tcPr>
            <w:tcW w:w="1674"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37.3 (35.9-45.8)‡</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26.0 (24.4-28.1)</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26.7 (26.0-28)</w:t>
            </w:r>
          </w:p>
        </w:tc>
      </w:tr>
      <w:tr w:rsidR="00C00C4E" w:rsidRPr="00EE5858" w:rsidTr="002A5C9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ind w:firstLineChars="200" w:firstLine="480"/>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MAD 4 chamber (mm)</w:t>
            </w:r>
          </w:p>
        </w:tc>
        <w:tc>
          <w:tcPr>
            <w:tcW w:w="1671"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30.3 (29.2-30.4)</w:t>
            </w:r>
          </w:p>
        </w:tc>
        <w:tc>
          <w:tcPr>
            <w:tcW w:w="154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36.4 (35.0-38.5)</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31.9 (30.9-33.0)</w:t>
            </w:r>
          </w:p>
        </w:tc>
        <w:tc>
          <w:tcPr>
            <w:tcW w:w="167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38.3 (38.0-39.0)</w:t>
            </w:r>
          </w:p>
        </w:tc>
        <w:tc>
          <w:tcPr>
            <w:tcW w:w="1726"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32.6 (31.7-35)</w:t>
            </w:r>
          </w:p>
        </w:tc>
        <w:tc>
          <w:tcPr>
            <w:tcW w:w="1674"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39.6 (36.1-40.1)</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30.1 (28.2-31.7)</w:t>
            </w:r>
          </w:p>
        </w:tc>
        <w:tc>
          <w:tcPr>
            <w:tcW w:w="1520" w:type="dxa"/>
            <w:tcBorders>
              <w:top w:val="nil"/>
              <w:left w:val="nil"/>
              <w:bottom w:val="single" w:sz="4" w:space="0" w:color="auto"/>
              <w:right w:val="single" w:sz="4" w:space="0" w:color="auto"/>
            </w:tcBorders>
            <w:shd w:val="clear" w:color="auto" w:fill="auto"/>
            <w:noWrap/>
            <w:vAlign w:val="bottom"/>
            <w:hideMark/>
          </w:tcPr>
          <w:p w:rsidR="00C00C4E" w:rsidRPr="00EE5858" w:rsidRDefault="00C00C4E" w:rsidP="002A5C96">
            <w:pPr>
              <w:spacing w:after="0" w:line="240" w:lineRule="auto"/>
              <w:jc w:val="center"/>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32.1 (31.0-34.0)</w:t>
            </w:r>
          </w:p>
        </w:tc>
      </w:tr>
    </w:tbl>
    <w:p w:rsidR="00C00C4E" w:rsidRPr="00EE5858" w:rsidRDefault="00C00C4E" w:rsidP="00C00C4E">
      <w:pPr>
        <w:spacing w:line="480" w:lineRule="auto"/>
        <w:rPr>
          <w:rFonts w:ascii="Times New Roman" w:hAnsi="Times New Roman" w:cs="Times New Roman"/>
          <w:sz w:val="24"/>
          <w:szCs w:val="24"/>
        </w:rPr>
      </w:pPr>
      <w:r w:rsidRPr="00EE5858">
        <w:rPr>
          <w:rFonts w:ascii="Times New Roman" w:hAnsi="Times New Roman" w:cs="Times New Roman"/>
          <w:sz w:val="24"/>
          <w:szCs w:val="24"/>
        </w:rPr>
        <w:t>MAD: Mitral annulus diameter.</w:t>
      </w:r>
    </w:p>
    <w:p w:rsidR="00901D35" w:rsidRPr="00EE5858" w:rsidRDefault="00C00C4E" w:rsidP="00CE7B18">
      <w:pPr>
        <w:spacing w:line="480" w:lineRule="auto"/>
        <w:rPr>
          <w:rFonts w:ascii="Times New Roman" w:hAnsi="Times New Roman" w:cs="Times New Roman"/>
          <w:i/>
          <w:sz w:val="24"/>
          <w:szCs w:val="24"/>
        </w:rPr>
      </w:pPr>
      <w:r w:rsidRPr="00EE5858">
        <w:rPr>
          <w:rFonts w:ascii="Times New Roman" w:hAnsi="Times New Roman" w:cs="Times New Roman"/>
          <w:sz w:val="24"/>
          <w:szCs w:val="24"/>
        </w:rPr>
        <w:t>*p&lt;0.05 vs Control, †p&lt;0.05 vs LCx; ‡ p&lt;0.05 vs LAD.</w:t>
      </w:r>
    </w:p>
    <w:p w:rsidR="00CE7B18" w:rsidRPr="00EE5858" w:rsidRDefault="00CE7B18" w:rsidP="00DA547C">
      <w:pPr>
        <w:spacing w:line="480" w:lineRule="auto"/>
        <w:rPr>
          <w:rFonts w:ascii="Times New Roman" w:hAnsi="Times New Roman" w:cs="Times New Roman"/>
          <w:sz w:val="24"/>
          <w:szCs w:val="24"/>
        </w:rPr>
      </w:pPr>
      <w:r w:rsidRPr="00EE5858">
        <w:rPr>
          <w:rFonts w:ascii="Times New Roman" w:hAnsi="Times New Roman" w:cs="Times New Roman"/>
          <w:b/>
          <w:sz w:val="24"/>
          <w:szCs w:val="24"/>
        </w:rPr>
        <w:br w:type="page"/>
      </w:r>
    </w:p>
    <w:p w:rsidR="00C00C4E" w:rsidRPr="00EE5858" w:rsidRDefault="00C00C4E" w:rsidP="00CE7B18">
      <w:pPr>
        <w:rPr>
          <w:rFonts w:ascii="Times New Roman" w:hAnsi="Times New Roman" w:cs="Times New Roman"/>
          <w:b/>
          <w:sz w:val="24"/>
          <w:szCs w:val="24"/>
        </w:rPr>
        <w:sectPr w:rsidR="00C00C4E" w:rsidRPr="00EE5858" w:rsidSect="00C00C4E">
          <w:pgSz w:w="16838" w:h="11906" w:orient="landscape"/>
          <w:pgMar w:top="1440" w:right="1440" w:bottom="1440" w:left="1440" w:header="720" w:footer="720" w:gutter="0"/>
          <w:cols w:space="720"/>
          <w:docGrid w:linePitch="360"/>
        </w:sectPr>
      </w:pPr>
    </w:p>
    <w:p w:rsidR="00CE7B18" w:rsidRPr="00EE5858" w:rsidRDefault="008D01FD" w:rsidP="00C00C4E">
      <w:pPr>
        <w:rPr>
          <w:rFonts w:ascii="Times New Roman" w:hAnsi="Times New Roman" w:cs="Times New Roman"/>
          <w:b/>
          <w:sz w:val="24"/>
          <w:szCs w:val="24"/>
        </w:rPr>
      </w:pPr>
      <w:r>
        <w:rPr>
          <w:rFonts w:ascii="Times New Roman" w:hAnsi="Times New Roman" w:cs="Times New Roman"/>
          <w:b/>
          <w:sz w:val="24"/>
          <w:szCs w:val="24"/>
        </w:rPr>
        <w:lastRenderedPageBreak/>
        <w:t xml:space="preserve">Supplementary Table </w:t>
      </w:r>
      <w:r w:rsidR="00CE7B18" w:rsidRPr="00EE5858">
        <w:rPr>
          <w:rFonts w:ascii="Times New Roman" w:hAnsi="Times New Roman" w:cs="Times New Roman"/>
          <w:b/>
          <w:sz w:val="24"/>
          <w:szCs w:val="24"/>
        </w:rPr>
        <w:t>2. Hemodynamic Data at 8 Weeks Post-MI.</w:t>
      </w:r>
    </w:p>
    <w:tbl>
      <w:tblPr>
        <w:tblW w:w="8190" w:type="dxa"/>
        <w:tblInd w:w="58" w:type="dxa"/>
        <w:tblCellMar>
          <w:left w:w="70" w:type="dxa"/>
          <w:right w:w="70" w:type="dxa"/>
        </w:tblCellMar>
        <w:tblLook w:val="04A0" w:firstRow="1" w:lastRow="0" w:firstColumn="1" w:lastColumn="0" w:noHBand="0" w:noVBand="1"/>
      </w:tblPr>
      <w:tblGrid>
        <w:gridCol w:w="3900"/>
        <w:gridCol w:w="1436"/>
        <w:gridCol w:w="1336"/>
        <w:gridCol w:w="1518"/>
      </w:tblGrid>
      <w:tr w:rsidR="00CE7B18" w:rsidRPr="00EE5858" w:rsidTr="00031F5A">
        <w:trPr>
          <w:trHeight w:val="300"/>
        </w:trPr>
        <w:tc>
          <w:tcPr>
            <w:tcW w:w="3900" w:type="dxa"/>
            <w:tcBorders>
              <w:top w:val="nil"/>
              <w:left w:val="nil"/>
              <w:bottom w:val="nil"/>
              <w:right w:val="nil"/>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p>
        </w:tc>
        <w:tc>
          <w:tcPr>
            <w:tcW w:w="14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Control (n=4)</w:t>
            </w:r>
          </w:p>
        </w:tc>
        <w:tc>
          <w:tcPr>
            <w:tcW w:w="1336" w:type="dxa"/>
            <w:tcBorders>
              <w:top w:val="single" w:sz="4" w:space="0" w:color="auto"/>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LCx (n=7)</w:t>
            </w:r>
          </w:p>
        </w:tc>
        <w:tc>
          <w:tcPr>
            <w:tcW w:w="1518" w:type="dxa"/>
            <w:tcBorders>
              <w:top w:val="single" w:sz="4" w:space="0" w:color="auto"/>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LAI (n=8)</w:t>
            </w:r>
          </w:p>
        </w:tc>
      </w:tr>
      <w:tr w:rsidR="00CE7B18" w:rsidRPr="00EE5858" w:rsidTr="00031F5A">
        <w:trPr>
          <w:trHeight w:val="300"/>
        </w:trPr>
        <w:tc>
          <w:tcPr>
            <w:tcW w:w="3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Heart rate, bpm</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51 (46-57)</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58 (48-71)</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75 (57-85)</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PA wedge pressure, mmHg</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4 (4-5)</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9 (8-10)</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14 (10-17)*†</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Mean PA pressure, mmHg</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16 (15-16)</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18 (16-20)</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27 (24-34)*†</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Mean RA pressure, mmHg</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4 (3-4)</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4 (3-4)</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5 (3-6)</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Cardiac output, L/min</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4.1 (3.6-4.6)</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5.4 (3.9-5.4)</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4 (2.9-4.3)</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Cardiac index, L/min*m</w:t>
            </w:r>
            <w:r w:rsidRPr="00EE5858">
              <w:rPr>
                <w:rFonts w:ascii="Times New Roman" w:eastAsia="Times New Roman" w:hAnsi="Times New Roman" w:cs="Times New Roman"/>
                <w:color w:val="000000"/>
                <w:sz w:val="24"/>
                <w:szCs w:val="24"/>
                <w:vertAlign w:val="superscript"/>
                <w:lang w:eastAsia="es-ES"/>
              </w:rPr>
              <w:t>2</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3.1 (2.7-3.4)</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3.6 (2.8-3.9)</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3.1 (2.2-3.3)</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Pulmonary vascular resistance,</w:t>
            </w:r>
            <w:r w:rsidR="00697AE6" w:rsidRPr="00EE5858">
              <w:rPr>
                <w:rFonts w:ascii="Times New Roman" w:eastAsia="Times New Roman" w:hAnsi="Times New Roman" w:cs="Times New Roman"/>
                <w:color w:val="000000"/>
                <w:sz w:val="24"/>
                <w:szCs w:val="24"/>
                <w:lang w:eastAsia="es-ES"/>
              </w:rPr>
              <w:t xml:space="preserve"> </w:t>
            </w:r>
            <w:r w:rsidRPr="00EE5858">
              <w:rPr>
                <w:rFonts w:ascii="Times New Roman" w:eastAsia="Times New Roman" w:hAnsi="Times New Roman" w:cs="Times New Roman"/>
                <w:color w:val="000000"/>
                <w:sz w:val="24"/>
                <w:szCs w:val="24"/>
                <w:lang w:eastAsia="es-ES"/>
              </w:rPr>
              <w:t>WU</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2.6 (2.3-3.1)</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2.2 (2-2.2)</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3.8 (2.8-5.5)†</w:t>
            </w:r>
          </w:p>
        </w:tc>
      </w:tr>
      <w:tr w:rsidR="00CE7B18" w:rsidRPr="00EE5858" w:rsidTr="00031F5A">
        <w:trPr>
          <w:trHeight w:val="300"/>
        </w:trPr>
        <w:tc>
          <w:tcPr>
            <w:tcW w:w="3900" w:type="dxa"/>
            <w:tcBorders>
              <w:top w:val="nil"/>
              <w:left w:val="single" w:sz="4" w:space="0" w:color="auto"/>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rPr>
                <w:rFonts w:ascii="Times New Roman" w:eastAsia="Times New Roman" w:hAnsi="Times New Roman" w:cs="Times New Roman"/>
                <w:color w:val="000000"/>
                <w:sz w:val="24"/>
                <w:szCs w:val="24"/>
                <w:lang w:eastAsia="es-ES"/>
              </w:rPr>
            </w:pPr>
            <w:r w:rsidRPr="00EE5858">
              <w:rPr>
                <w:rFonts w:ascii="Times New Roman" w:eastAsia="Times New Roman" w:hAnsi="Times New Roman" w:cs="Times New Roman"/>
                <w:color w:val="000000"/>
                <w:sz w:val="24"/>
                <w:szCs w:val="24"/>
                <w:lang w:eastAsia="es-ES"/>
              </w:rPr>
              <w:t>Pulmonary vascular resistance, WU*m</w:t>
            </w:r>
            <w:r w:rsidRPr="00EE5858">
              <w:rPr>
                <w:rFonts w:ascii="Times New Roman" w:eastAsia="Times New Roman" w:hAnsi="Times New Roman" w:cs="Times New Roman"/>
                <w:color w:val="000000"/>
                <w:sz w:val="24"/>
                <w:szCs w:val="24"/>
                <w:vertAlign w:val="superscript"/>
                <w:lang w:eastAsia="es-ES"/>
              </w:rPr>
              <w:t>2</w:t>
            </w:r>
          </w:p>
        </w:tc>
        <w:tc>
          <w:tcPr>
            <w:tcW w:w="14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3.6 (3.2-4.1)</w:t>
            </w:r>
          </w:p>
        </w:tc>
        <w:tc>
          <w:tcPr>
            <w:tcW w:w="1336"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3.1 (2.9-3.3)</w:t>
            </w:r>
          </w:p>
        </w:tc>
        <w:tc>
          <w:tcPr>
            <w:tcW w:w="1518" w:type="dxa"/>
            <w:tcBorders>
              <w:top w:val="nil"/>
              <w:left w:val="nil"/>
              <w:bottom w:val="single" w:sz="4" w:space="0" w:color="auto"/>
              <w:right w:val="single" w:sz="4" w:space="0" w:color="auto"/>
            </w:tcBorders>
            <w:shd w:val="clear" w:color="auto" w:fill="auto"/>
            <w:noWrap/>
            <w:vAlign w:val="bottom"/>
            <w:hideMark/>
          </w:tcPr>
          <w:p w:rsidR="00CE7B18" w:rsidRPr="00EE5858" w:rsidRDefault="00CE7B18" w:rsidP="00031F5A">
            <w:pPr>
              <w:spacing w:after="0" w:line="480" w:lineRule="auto"/>
              <w:jc w:val="center"/>
              <w:rPr>
                <w:rFonts w:ascii="Times New Roman" w:eastAsia="Times New Roman" w:hAnsi="Times New Roman" w:cs="Times New Roman"/>
                <w:color w:val="000000"/>
                <w:sz w:val="24"/>
                <w:szCs w:val="24"/>
                <w:lang w:eastAsia="es-ES"/>
              </w:rPr>
            </w:pPr>
            <w:r w:rsidRPr="00EE5858">
              <w:rPr>
                <w:rFonts w:ascii="Times New Roman" w:hAnsi="Times New Roman" w:cs="Times New Roman"/>
                <w:color w:val="000000"/>
                <w:sz w:val="24"/>
                <w:szCs w:val="24"/>
              </w:rPr>
              <w:t>5.2 (3.6-7.3)†</w:t>
            </w:r>
          </w:p>
        </w:tc>
      </w:tr>
    </w:tbl>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 xml:space="preserve">PA, pulmonary artery; WU= Wood units.  </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sz w:val="24"/>
          <w:szCs w:val="24"/>
        </w:rPr>
        <w:t>Pairwise comparisons: *</w:t>
      </w:r>
      <w:r w:rsidRPr="00EE5858">
        <w:rPr>
          <w:rFonts w:ascii="Times New Roman" w:hAnsi="Times New Roman" w:cs="Times New Roman"/>
          <w:i/>
          <w:sz w:val="24"/>
          <w:szCs w:val="24"/>
        </w:rPr>
        <w:t>P</w:t>
      </w:r>
      <w:r w:rsidRPr="00EE5858">
        <w:rPr>
          <w:rFonts w:ascii="Times New Roman" w:hAnsi="Times New Roman" w:cs="Times New Roman"/>
          <w:sz w:val="24"/>
          <w:szCs w:val="24"/>
        </w:rPr>
        <w:t>&lt;0.05 vs Control; †</w:t>
      </w:r>
      <w:r w:rsidRPr="00EE5858">
        <w:rPr>
          <w:rFonts w:ascii="Times New Roman" w:hAnsi="Times New Roman" w:cs="Times New Roman"/>
          <w:i/>
          <w:sz w:val="24"/>
          <w:szCs w:val="24"/>
        </w:rPr>
        <w:t>P</w:t>
      </w:r>
      <w:r w:rsidRPr="00EE5858">
        <w:rPr>
          <w:rFonts w:ascii="Times New Roman" w:hAnsi="Times New Roman" w:cs="Times New Roman"/>
          <w:sz w:val="24"/>
          <w:szCs w:val="24"/>
        </w:rPr>
        <w:t>&lt;0.05 vs LCx</w:t>
      </w:r>
    </w:p>
    <w:p w:rsidR="00CE7B18" w:rsidRPr="00EE5858" w:rsidRDefault="00CE7B18" w:rsidP="00CE7B18">
      <w:pPr>
        <w:rPr>
          <w:rFonts w:ascii="Times New Roman" w:hAnsi="Times New Roman" w:cs="Times New Roman"/>
          <w:b/>
          <w:sz w:val="24"/>
          <w:szCs w:val="24"/>
        </w:rPr>
      </w:pPr>
      <w:r w:rsidRPr="00EE5858">
        <w:rPr>
          <w:rFonts w:ascii="Times New Roman" w:hAnsi="Times New Roman" w:cs="Times New Roman"/>
          <w:b/>
          <w:sz w:val="24"/>
          <w:szCs w:val="24"/>
        </w:rPr>
        <w:br w:type="page"/>
      </w:r>
    </w:p>
    <w:p w:rsidR="00CE7B18" w:rsidRPr="00EE5858" w:rsidRDefault="00CE7B18" w:rsidP="00CE7B18">
      <w:pPr>
        <w:spacing w:line="480" w:lineRule="auto"/>
        <w:rPr>
          <w:rFonts w:ascii="Times New Roman" w:hAnsi="Times New Roman" w:cs="Times New Roman"/>
          <w:b/>
          <w:sz w:val="24"/>
          <w:szCs w:val="24"/>
        </w:rPr>
      </w:pPr>
      <w:r w:rsidRPr="00EE5858">
        <w:rPr>
          <w:rFonts w:ascii="Times New Roman" w:hAnsi="Times New Roman" w:cs="Times New Roman"/>
          <w:b/>
          <w:sz w:val="24"/>
          <w:szCs w:val="24"/>
        </w:rPr>
        <w:lastRenderedPageBreak/>
        <w:t>Supplementary Figures.</w:t>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t>Supplementary Figure 1.</w:t>
      </w:r>
      <w:r w:rsidRPr="00EE5858">
        <w:rPr>
          <w:rFonts w:ascii="Times New Roman" w:hAnsi="Times New Roman" w:cs="Times New Roman"/>
          <w:sz w:val="24"/>
          <w:szCs w:val="24"/>
        </w:rPr>
        <w:t xml:space="preserve"> Optimization of left circumflex infarction models. (A-C) Proximal LCx coil occlusion generated a superior chronic ischemic MR model than proximal LCx ischemia-reperfusion, where minimal or no MR was present in pilot experiments. Moreover, MR was mild with coil deployments in the dominant marginal branch, mid LCx, or even the proximal LCx if the distribution was too small (representative example, C). Images depict end-systolic frames of the 3-chamber view.</w:t>
      </w:r>
    </w:p>
    <w:p w:rsidR="00D149FB" w:rsidRPr="00EE5858" w:rsidRDefault="00D149FB" w:rsidP="00CE7B18">
      <w:pPr>
        <w:spacing w:line="480" w:lineRule="auto"/>
        <w:rPr>
          <w:rFonts w:ascii="Times New Roman" w:hAnsi="Times New Roman" w:cs="Times New Roman"/>
          <w:sz w:val="24"/>
          <w:szCs w:val="24"/>
        </w:rPr>
      </w:pPr>
    </w:p>
    <w:p w:rsidR="00D149FB" w:rsidRPr="00EE5858" w:rsidRDefault="00D149FB" w:rsidP="00CE7B18">
      <w:pPr>
        <w:spacing w:line="480" w:lineRule="auto"/>
        <w:rPr>
          <w:rFonts w:ascii="Times New Roman" w:hAnsi="Times New Roman" w:cs="Times New Roman"/>
          <w:sz w:val="24"/>
          <w:szCs w:val="24"/>
        </w:rPr>
      </w:pPr>
      <w:r w:rsidRPr="00EE5858">
        <w:rPr>
          <w:rFonts w:ascii="Times New Roman" w:hAnsi="Times New Roman" w:cs="Times New Roman"/>
          <w:noProof/>
          <w:sz w:val="24"/>
          <w:szCs w:val="24"/>
          <w:lang w:val="es-ES" w:eastAsia="es-ES"/>
        </w:rPr>
        <w:drawing>
          <wp:inline distT="0" distB="0" distL="0" distR="0" wp14:anchorId="230F5607" wp14:editId="1E6409F0">
            <wp:extent cx="5731510" cy="466979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AC_24345_online_Figure_1.tif"/>
                    <pic:cNvPicPr/>
                  </pic:nvPicPr>
                  <pic:blipFill>
                    <a:blip r:embed="rId4">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Supplementary Figure 2.</w:t>
      </w:r>
      <w:r w:rsidRPr="00EE5858">
        <w:rPr>
          <w:rFonts w:ascii="Times New Roman" w:hAnsi="Times New Roman" w:cs="Times New Roman"/>
          <w:sz w:val="24"/>
          <w:szCs w:val="24"/>
        </w:rPr>
        <w:t xml:space="preserve"> Representative explants of the post-MI LA remodeling. (A) Control (no MI). (B) LAI model, showing LA enlargement. (C) LAD infarction model. (D) Excised LA from the LAD model. (E) Excised LA from the LAI model, showing marked dilation and fibrosis. </w:t>
      </w:r>
    </w:p>
    <w:p w:rsidR="00D149FB" w:rsidRPr="00EE5858" w:rsidRDefault="00D149FB" w:rsidP="00CE7B18">
      <w:pPr>
        <w:spacing w:line="480" w:lineRule="auto"/>
        <w:rPr>
          <w:rFonts w:ascii="Times New Roman" w:hAnsi="Times New Roman" w:cs="Times New Roman"/>
          <w:sz w:val="24"/>
          <w:szCs w:val="24"/>
        </w:rPr>
      </w:pPr>
      <w:r w:rsidRPr="00EE5858">
        <w:rPr>
          <w:rFonts w:ascii="Times New Roman" w:hAnsi="Times New Roman" w:cs="Times New Roman"/>
          <w:noProof/>
          <w:sz w:val="24"/>
          <w:szCs w:val="24"/>
          <w:lang w:val="es-ES" w:eastAsia="es-ES"/>
        </w:rPr>
        <w:drawing>
          <wp:inline distT="0" distB="0" distL="0" distR="0" wp14:anchorId="7EDDF9ED" wp14:editId="24C9ECB7">
            <wp:extent cx="5731510" cy="466979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AC_24345_online_Figure_2.tif"/>
                    <pic:cNvPicPr/>
                  </pic:nvPicPr>
                  <pic:blipFill>
                    <a:blip r:embed="rId5">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D149FB" w:rsidRPr="00EE5858" w:rsidRDefault="00D149FB" w:rsidP="00CE7B18">
      <w:pPr>
        <w:spacing w:line="480" w:lineRule="auto"/>
        <w:rPr>
          <w:rFonts w:ascii="Times New Roman" w:hAnsi="Times New Roman" w:cs="Times New Roman"/>
          <w:sz w:val="24"/>
          <w:szCs w:val="24"/>
        </w:rPr>
      </w:pP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CE7B18" w:rsidRPr="00EE5858" w:rsidRDefault="00CE7B18"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Supplementary Figure 3.</w:t>
      </w:r>
      <w:r w:rsidRPr="00EE5858">
        <w:rPr>
          <w:rFonts w:ascii="Times New Roman" w:hAnsi="Times New Roman" w:cs="Times New Roman"/>
          <w:sz w:val="24"/>
          <w:szCs w:val="24"/>
        </w:rPr>
        <w:t xml:space="preserve"> Representative examples of the LA fibrosis pattern in the IMR (left) and LAI models (middle and right). Sections stained with picrosirius red (left and middle) and Masson’s trichrome (right) illustrate the extent of fibrosis in different animals from each group, supporting the consistency of the model. Scale bars, 1 mm. Note that some samples are duplicated (F-J and H-L, with both picrosirius and Masson’s trichrome staining).</w:t>
      </w:r>
    </w:p>
    <w:p w:rsidR="00D149FB" w:rsidRPr="00EE5858" w:rsidRDefault="00D149FB" w:rsidP="00CE7B18">
      <w:pPr>
        <w:spacing w:line="480" w:lineRule="auto"/>
        <w:rPr>
          <w:rFonts w:ascii="Times New Roman" w:hAnsi="Times New Roman" w:cs="Times New Roman"/>
          <w:sz w:val="24"/>
          <w:szCs w:val="24"/>
        </w:rPr>
      </w:pPr>
      <w:r w:rsidRPr="00EE5858">
        <w:rPr>
          <w:rFonts w:ascii="Times New Roman" w:hAnsi="Times New Roman" w:cs="Times New Roman"/>
          <w:noProof/>
          <w:sz w:val="24"/>
          <w:szCs w:val="24"/>
          <w:lang w:val="es-ES" w:eastAsia="es-ES"/>
        </w:rPr>
        <w:drawing>
          <wp:inline distT="0" distB="0" distL="0" distR="0" wp14:anchorId="718AE672" wp14:editId="78B78591">
            <wp:extent cx="5731510" cy="466979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JAC_24345_online_Figure_3.tif"/>
                    <pic:cNvPicPr/>
                  </pic:nvPicPr>
                  <pic:blipFill>
                    <a:blip r:embed="rId6">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901D35" w:rsidRPr="00EE5858" w:rsidRDefault="00901D35" w:rsidP="00901D35">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 xml:space="preserve">Supplementary Figure 4. </w:t>
      </w:r>
      <w:r w:rsidRPr="00EE5858">
        <w:rPr>
          <w:rFonts w:ascii="Times New Roman" w:hAnsi="Times New Roman" w:cs="Times New Roman"/>
          <w:sz w:val="24"/>
          <w:szCs w:val="24"/>
        </w:rPr>
        <w:t xml:space="preserve">Histology changes in the LAI group. Compared to the control left atrial tissue (A), the LAI group showed extensive fibrosis at 1 week (B) and 8 weeks (C). Inflammatory cells were present at 1 week in the infarcted area at 1 week (E, H) and to a lesser degree in the 8 week tissue (F, I), as compared to control samples (D, G). Sections stained with picrosirius (A to C), and hematoxylin-eosin (D to I). Scale bars: 1 mm (A to F), and 50 µm (G to I). </w:t>
      </w:r>
    </w:p>
    <w:p w:rsidR="00D149FB" w:rsidRPr="00EE5858" w:rsidRDefault="00D149FB" w:rsidP="00901D35">
      <w:pPr>
        <w:spacing w:line="480" w:lineRule="auto"/>
        <w:rPr>
          <w:rFonts w:ascii="Times New Roman" w:hAnsi="Times New Roman" w:cs="Times New Roman"/>
          <w:sz w:val="24"/>
          <w:szCs w:val="24"/>
        </w:rPr>
      </w:pPr>
      <w:r w:rsidRPr="00EE5858">
        <w:rPr>
          <w:rFonts w:ascii="Times New Roman" w:hAnsi="Times New Roman" w:cs="Times New Roman"/>
          <w:noProof/>
          <w:sz w:val="24"/>
          <w:szCs w:val="24"/>
          <w:lang w:val="es-ES" w:eastAsia="es-ES"/>
        </w:rPr>
        <w:drawing>
          <wp:inline distT="0" distB="0" distL="0" distR="0" wp14:anchorId="338C0A15" wp14:editId="1E6B8B97">
            <wp:extent cx="5731510" cy="466979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JAC_24345_online_Figure_4.tif"/>
                    <pic:cNvPicPr/>
                  </pic:nvPicPr>
                  <pic:blipFill>
                    <a:blip r:embed="rId7">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901D35" w:rsidRPr="00EE5858" w:rsidRDefault="00901D35"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 xml:space="preserve">Supplementary Figure 5. </w:t>
      </w:r>
      <w:r w:rsidRPr="00EE5858">
        <w:rPr>
          <w:rFonts w:ascii="Times New Roman" w:hAnsi="Times New Roman" w:cs="Times New Roman"/>
          <w:sz w:val="24"/>
          <w:szCs w:val="24"/>
        </w:rPr>
        <w:t>Immunohistochemistry analysis in the LAI group. Inflammatory cells were almost absent in control atrial tissue samples (A, B), abundant in the LAI group at 1 week in the infarcted area (C, D), with a marked decrease at the 8 week timepoint (E, F). Scale bars: 250 µm (A, C, E), and 50 µm (B, D, F).</w:t>
      </w:r>
    </w:p>
    <w:p w:rsidR="00D149FB" w:rsidRPr="00EE5858" w:rsidRDefault="00D149FB" w:rsidP="00CE7B18">
      <w:pPr>
        <w:spacing w:line="480" w:lineRule="auto"/>
        <w:rPr>
          <w:rFonts w:ascii="Times New Roman" w:hAnsi="Times New Roman" w:cs="Times New Roman"/>
          <w:b/>
          <w:sz w:val="24"/>
          <w:szCs w:val="24"/>
        </w:rPr>
      </w:pPr>
      <w:r w:rsidRPr="00EE5858">
        <w:rPr>
          <w:rFonts w:ascii="Times New Roman" w:hAnsi="Times New Roman" w:cs="Times New Roman"/>
          <w:b/>
          <w:noProof/>
          <w:sz w:val="24"/>
          <w:szCs w:val="24"/>
          <w:lang w:val="es-ES" w:eastAsia="es-ES"/>
        </w:rPr>
        <w:drawing>
          <wp:inline distT="0" distB="0" distL="0" distR="0" wp14:anchorId="1ED6F008" wp14:editId="36C32405">
            <wp:extent cx="5731510" cy="466979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JAC_24345_online_Figure_5.tif"/>
                    <pic:cNvPicPr/>
                  </pic:nvPicPr>
                  <pic:blipFill>
                    <a:blip r:embed="rId8">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CE7B18" w:rsidRPr="00EE5858" w:rsidRDefault="001531A7"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Supplementary Figure 6</w:t>
      </w:r>
      <w:r w:rsidR="00CE7B18" w:rsidRPr="00EE5858">
        <w:rPr>
          <w:rFonts w:ascii="Times New Roman" w:hAnsi="Times New Roman" w:cs="Times New Roman"/>
          <w:b/>
          <w:sz w:val="24"/>
          <w:szCs w:val="24"/>
        </w:rPr>
        <w:t>.</w:t>
      </w:r>
      <w:r w:rsidR="00CE7B18" w:rsidRPr="00EE5858">
        <w:rPr>
          <w:rFonts w:ascii="Times New Roman" w:hAnsi="Times New Roman" w:cs="Times New Roman"/>
          <w:sz w:val="24"/>
          <w:szCs w:val="24"/>
        </w:rPr>
        <w:t xml:space="preserve"> Representative Masson’s trichrome staining in liver sections from (A) a control animal and (B) an animal from the LAI group at 8 weeks after LCx occlusion, revealing severe liver congestion in the LAI animal (coinciding with the pulmonary hypertension). Scale bars, 1 mm. </w:t>
      </w:r>
    </w:p>
    <w:p w:rsidR="00D149FB" w:rsidRPr="00EE5858" w:rsidRDefault="00D149FB" w:rsidP="00CE7B18">
      <w:pPr>
        <w:spacing w:line="480" w:lineRule="auto"/>
        <w:rPr>
          <w:rFonts w:ascii="Times New Roman" w:hAnsi="Times New Roman" w:cs="Times New Roman"/>
          <w:sz w:val="24"/>
          <w:szCs w:val="24"/>
        </w:rPr>
      </w:pPr>
    </w:p>
    <w:p w:rsidR="00D149FB" w:rsidRPr="00EE5858" w:rsidRDefault="00D149FB" w:rsidP="00CE7B18">
      <w:pPr>
        <w:spacing w:line="480" w:lineRule="auto"/>
        <w:rPr>
          <w:rFonts w:ascii="Times New Roman" w:hAnsi="Times New Roman" w:cs="Times New Roman"/>
          <w:sz w:val="24"/>
          <w:szCs w:val="24"/>
        </w:rPr>
      </w:pPr>
      <w:r w:rsidRPr="00EE5858">
        <w:rPr>
          <w:rFonts w:ascii="Times New Roman" w:hAnsi="Times New Roman" w:cs="Times New Roman"/>
          <w:noProof/>
          <w:sz w:val="24"/>
          <w:szCs w:val="24"/>
          <w:lang w:val="es-ES" w:eastAsia="es-ES"/>
        </w:rPr>
        <w:drawing>
          <wp:inline distT="0" distB="0" distL="0" distR="0" wp14:anchorId="7749A7BC" wp14:editId="5FB4C1EB">
            <wp:extent cx="5731510" cy="466979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JAC_24345_online_Figure_6.tif"/>
                    <pic:cNvPicPr/>
                  </pic:nvPicPr>
                  <pic:blipFill>
                    <a:blip r:embed="rId9">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szCs w:val="24"/>
        </w:rPr>
      </w:pPr>
      <w:r>
        <w:rPr>
          <w:rFonts w:ascii="Times New Roman" w:hAnsi="Times New Roman" w:cs="Times New Roman"/>
          <w:b/>
          <w:sz w:val="24"/>
          <w:szCs w:val="24"/>
        </w:rPr>
        <w:br w:type="page"/>
      </w:r>
    </w:p>
    <w:p w:rsidR="00CE7B18" w:rsidRPr="00EE5858" w:rsidRDefault="001531A7" w:rsidP="00CE7B18">
      <w:pPr>
        <w:spacing w:line="480" w:lineRule="auto"/>
        <w:rPr>
          <w:rFonts w:ascii="Times New Roman" w:hAnsi="Times New Roman" w:cs="Times New Roman"/>
          <w:sz w:val="24"/>
          <w:szCs w:val="24"/>
        </w:rPr>
      </w:pPr>
      <w:r w:rsidRPr="00EE5858">
        <w:rPr>
          <w:rFonts w:ascii="Times New Roman" w:hAnsi="Times New Roman" w:cs="Times New Roman"/>
          <w:b/>
          <w:sz w:val="24"/>
          <w:szCs w:val="24"/>
        </w:rPr>
        <w:lastRenderedPageBreak/>
        <w:t>Supplementary Figure 7</w:t>
      </w:r>
      <w:r w:rsidR="00CE7B18" w:rsidRPr="00EE5858">
        <w:rPr>
          <w:rFonts w:ascii="Times New Roman" w:hAnsi="Times New Roman" w:cs="Times New Roman"/>
          <w:b/>
          <w:sz w:val="24"/>
          <w:szCs w:val="24"/>
        </w:rPr>
        <w:t>.</w:t>
      </w:r>
      <w:r w:rsidR="00CE7B18" w:rsidRPr="00EE5858">
        <w:rPr>
          <w:rFonts w:ascii="Times New Roman" w:hAnsi="Times New Roman" w:cs="Times New Roman"/>
          <w:sz w:val="24"/>
          <w:szCs w:val="24"/>
        </w:rPr>
        <w:t xml:space="preserve"> Correlations between mean pulmonary artery pressure measured by right heart catheterization at 8 weeks and cardiac imaging parameters: (A) regurgitant fraction, (B) LA maximum area, (C) LA reservoir function, (D) LV ejection fraction, and (E) LV end-systolic volume. (F) Spearman correlation coefficients and statistical significance for two-sided tests.</w:t>
      </w:r>
    </w:p>
    <w:p w:rsidR="00D149FB" w:rsidRPr="00EE5858" w:rsidRDefault="00D149FB" w:rsidP="00CE7B18">
      <w:pPr>
        <w:spacing w:line="480" w:lineRule="auto"/>
      </w:pPr>
      <w:r w:rsidRPr="00EE5858">
        <w:rPr>
          <w:noProof/>
          <w:lang w:val="es-ES" w:eastAsia="es-ES"/>
        </w:rPr>
        <w:drawing>
          <wp:inline distT="0" distB="0" distL="0" distR="0" wp14:anchorId="3480407E" wp14:editId="3736FFBC">
            <wp:extent cx="5731510" cy="466979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JAC_24345_online_Figure_7.tif"/>
                    <pic:cNvPicPr/>
                  </pic:nvPicPr>
                  <pic:blipFill>
                    <a:blip r:embed="rId10">
                      <a:extLst>
                        <a:ext uri="{28A0092B-C50C-407E-A947-70E740481C1C}">
                          <a14:useLocalDpi xmlns:a14="http://schemas.microsoft.com/office/drawing/2010/main" val="0"/>
                        </a:ext>
                      </a:extLst>
                    </a:blip>
                    <a:stretch>
                      <a:fillRect/>
                    </a:stretch>
                  </pic:blipFill>
                  <pic:spPr>
                    <a:xfrm>
                      <a:off x="0" y="0"/>
                      <a:ext cx="5731510" cy="4669790"/>
                    </a:xfrm>
                    <a:prstGeom prst="rect">
                      <a:avLst/>
                    </a:prstGeom>
                  </pic:spPr>
                </pic:pic>
              </a:graphicData>
            </a:graphic>
          </wp:inline>
        </w:drawing>
      </w:r>
    </w:p>
    <w:p w:rsidR="008D01FD" w:rsidRDefault="008D01FD">
      <w:pPr>
        <w:rPr>
          <w:rFonts w:ascii="Times New Roman" w:hAnsi="Times New Roman" w:cs="Times New Roman"/>
          <w:b/>
          <w:sz w:val="24"/>
        </w:rPr>
      </w:pPr>
      <w:r>
        <w:rPr>
          <w:rFonts w:ascii="Times New Roman" w:hAnsi="Times New Roman" w:cs="Times New Roman"/>
          <w:b/>
          <w:sz w:val="24"/>
        </w:rPr>
        <w:br w:type="page"/>
      </w:r>
    </w:p>
    <w:p w:rsidR="00012E81" w:rsidRPr="00EE5858" w:rsidRDefault="00012E81" w:rsidP="00CE7B18">
      <w:pPr>
        <w:rPr>
          <w:rFonts w:ascii="Times New Roman" w:hAnsi="Times New Roman" w:cs="Times New Roman"/>
          <w:b/>
          <w:sz w:val="24"/>
        </w:rPr>
      </w:pPr>
      <w:r w:rsidRPr="00EE5858">
        <w:rPr>
          <w:rFonts w:ascii="Times New Roman" w:hAnsi="Times New Roman" w:cs="Times New Roman"/>
          <w:b/>
          <w:sz w:val="24"/>
        </w:rPr>
        <w:lastRenderedPageBreak/>
        <w:t>Supplementary References.</w:t>
      </w:r>
    </w:p>
    <w:p w:rsidR="00901D35" w:rsidRPr="00EE5858" w:rsidRDefault="00EF4658" w:rsidP="00901D35">
      <w:pPr>
        <w:spacing w:after="0" w:line="240" w:lineRule="auto"/>
        <w:ind w:left="720" w:hanging="720"/>
        <w:rPr>
          <w:rFonts w:ascii="Calibri" w:hAnsi="Calibri"/>
        </w:rPr>
      </w:pPr>
      <w:r w:rsidRPr="00EE5858">
        <w:fldChar w:fldCharType="begin"/>
      </w:r>
      <w:r w:rsidR="00012E81" w:rsidRPr="00EE5858">
        <w:instrText xml:space="preserve"> ADDIN EN.REFLIST </w:instrText>
      </w:r>
      <w:r w:rsidRPr="00EE5858">
        <w:fldChar w:fldCharType="separate"/>
      </w:r>
      <w:r w:rsidR="00901D35" w:rsidRPr="00EE5858">
        <w:rPr>
          <w:rFonts w:ascii="Calibri" w:hAnsi="Calibri"/>
        </w:rPr>
        <w:t>1.</w:t>
      </w:r>
      <w:r w:rsidR="00901D35" w:rsidRPr="00EE5858">
        <w:rPr>
          <w:rFonts w:ascii="Calibri" w:hAnsi="Calibri"/>
        </w:rPr>
        <w:tab/>
        <w:t>Llaneras MR, Nance ML, Streicher JT et al. Large animal model of ischemic mitral regurgitation. Ann Thorac Surg 1994;57:432-9.</w:t>
      </w:r>
    </w:p>
    <w:p w:rsidR="00901D35" w:rsidRPr="00EE5858" w:rsidRDefault="00901D35" w:rsidP="00901D35">
      <w:pPr>
        <w:spacing w:after="0" w:line="240" w:lineRule="auto"/>
        <w:ind w:left="720" w:hanging="720"/>
        <w:rPr>
          <w:rFonts w:ascii="Calibri" w:hAnsi="Calibri"/>
        </w:rPr>
      </w:pPr>
      <w:r w:rsidRPr="00EE5858">
        <w:rPr>
          <w:rFonts w:ascii="Calibri" w:hAnsi="Calibri"/>
        </w:rPr>
        <w:t>2.</w:t>
      </w:r>
      <w:r w:rsidRPr="00EE5858">
        <w:rPr>
          <w:rFonts w:ascii="Calibri" w:hAnsi="Calibri"/>
        </w:rPr>
        <w:tab/>
        <w:t xml:space="preserve">Han Y, Peters DC, Salton CJ et al. Cardiovascular magnetic resonance characterization of mitral valve prolapse. </w:t>
      </w:r>
      <w:r w:rsidR="00EE5858">
        <w:rPr>
          <w:rFonts w:ascii="Calibri" w:hAnsi="Calibri"/>
        </w:rPr>
        <w:t>J Am Coll Cardiol Img</w:t>
      </w:r>
      <w:r w:rsidRPr="00EE5858">
        <w:rPr>
          <w:rFonts w:ascii="Calibri" w:hAnsi="Calibri"/>
        </w:rPr>
        <w:t xml:space="preserve"> 2008;1:294-303.</w:t>
      </w:r>
    </w:p>
    <w:p w:rsidR="00901D35" w:rsidRPr="00EE5858" w:rsidRDefault="00901D35" w:rsidP="00901D35">
      <w:pPr>
        <w:spacing w:after="0" w:line="240" w:lineRule="auto"/>
        <w:ind w:left="720" w:hanging="720"/>
        <w:rPr>
          <w:rFonts w:ascii="Calibri" w:hAnsi="Calibri"/>
        </w:rPr>
      </w:pPr>
      <w:r w:rsidRPr="00EE5858">
        <w:rPr>
          <w:rFonts w:ascii="Calibri" w:hAnsi="Calibri"/>
        </w:rPr>
        <w:t>3.</w:t>
      </w:r>
      <w:r w:rsidRPr="00EE5858">
        <w:rPr>
          <w:rFonts w:ascii="Calibri" w:hAnsi="Calibri"/>
        </w:rPr>
        <w:tab/>
        <w:t>Szymanski C, Bel A, Cohen I et al. Comprehensive annular and subvalvular repair of chronic ischemic mitral regurgitation improves long-term results with the least ventricular remodeling. Circulation 2012;126:2720-7.</w:t>
      </w:r>
    </w:p>
    <w:p w:rsidR="00901D35" w:rsidRPr="00EE5858" w:rsidRDefault="00901D35" w:rsidP="00901D35">
      <w:pPr>
        <w:spacing w:after="0" w:line="240" w:lineRule="auto"/>
        <w:ind w:left="720" w:hanging="720"/>
        <w:rPr>
          <w:rFonts w:ascii="Calibri" w:hAnsi="Calibri"/>
        </w:rPr>
      </w:pPr>
    </w:p>
    <w:p w:rsidR="00194BCA" w:rsidRPr="00EE5858" w:rsidRDefault="00EF4658" w:rsidP="00CE7B18">
      <w:r w:rsidRPr="00EE5858">
        <w:fldChar w:fldCharType="end"/>
      </w:r>
    </w:p>
    <w:sectPr w:rsidR="00194BCA" w:rsidRPr="00EE5858" w:rsidSect="00C00C4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AVic3NDCxNjAxMDEyUdpeDU4uLM/DyQAsNaAEsxBJQsAAAA"/>
    <w:docVar w:name="EN.InstantFormat" w:val="&lt;ENInstantFormat&gt;&lt;Enabled&gt;1&lt;/Enabled&gt;&lt;ScanUnformatted&gt;1&lt;/ScanUnformatted&gt;&lt;ScanChanges&gt;1&lt;/ScanChanges&gt;&lt;/ENInstantFormat&gt;"/>
    <w:docVar w:name="EN.Layout" w:val="&lt;ENLayout&gt;&lt;Style&gt;J Amer College Cardiology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JACX_june16.enl&lt;/item&gt;&lt;/Libraries&gt;&lt;/ENLibraries&gt;"/>
  </w:docVars>
  <w:rsids>
    <w:rsidRoot w:val="00CE7B18"/>
    <w:rsid w:val="00012E81"/>
    <w:rsid w:val="001531A7"/>
    <w:rsid w:val="001C71B1"/>
    <w:rsid w:val="001F7E95"/>
    <w:rsid w:val="00292BDA"/>
    <w:rsid w:val="002B4DFD"/>
    <w:rsid w:val="002F5710"/>
    <w:rsid w:val="00303184"/>
    <w:rsid w:val="00397CB9"/>
    <w:rsid w:val="003B3CA1"/>
    <w:rsid w:val="004937B3"/>
    <w:rsid w:val="0053584A"/>
    <w:rsid w:val="005A36F3"/>
    <w:rsid w:val="005C09D1"/>
    <w:rsid w:val="005E0976"/>
    <w:rsid w:val="00627C04"/>
    <w:rsid w:val="00697AE6"/>
    <w:rsid w:val="007472EC"/>
    <w:rsid w:val="00767D60"/>
    <w:rsid w:val="008B6048"/>
    <w:rsid w:val="008D01FD"/>
    <w:rsid w:val="00901D35"/>
    <w:rsid w:val="00952AAD"/>
    <w:rsid w:val="009F6112"/>
    <w:rsid w:val="00A655A9"/>
    <w:rsid w:val="00BA4F9D"/>
    <w:rsid w:val="00C00C4E"/>
    <w:rsid w:val="00CD4DB8"/>
    <w:rsid w:val="00CE7B18"/>
    <w:rsid w:val="00D149FB"/>
    <w:rsid w:val="00DA547C"/>
    <w:rsid w:val="00E337A4"/>
    <w:rsid w:val="00EE5858"/>
    <w:rsid w:val="00EF1B6E"/>
    <w:rsid w:val="00EF4658"/>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23CAFE-95B9-4F1A-BC47-90F87B94D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7B18"/>
    <w:rPr>
      <w:rFonts w:eastAsiaTheme="minorEastAsia"/>
      <w:lang w:val="en-US"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531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531A7"/>
    <w:rPr>
      <w:rFonts w:ascii="Tahoma" w:eastAsiaTheme="minorEastAsia"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tif"/><Relationship Id="rId3" Type="http://schemas.openxmlformats.org/officeDocument/2006/relationships/webSettings" Target="webSettings.xml"/><Relationship Id="rId7" Type="http://schemas.openxmlformats.org/officeDocument/2006/relationships/image" Target="media/image4.ti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Relationship Id="rId11" Type="http://schemas.openxmlformats.org/officeDocument/2006/relationships/fontTable" Target="fontTable.xml"/><Relationship Id="rId5" Type="http://schemas.openxmlformats.org/officeDocument/2006/relationships/image" Target="media/image2.tif"/><Relationship Id="rId10" Type="http://schemas.openxmlformats.org/officeDocument/2006/relationships/image" Target="media/image7.tif"/><Relationship Id="rId4" Type="http://schemas.openxmlformats.org/officeDocument/2006/relationships/image" Target="media/image1.tif"/><Relationship Id="rId9" Type="http://schemas.openxmlformats.org/officeDocument/2006/relationships/image" Target="media/image6.t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2415</Words>
  <Characters>13285</Characters>
  <Application>Microsoft Office Word</Application>
  <DocSecurity>0</DocSecurity>
  <Lines>110</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Aguero</dc:creator>
  <cp:lastModifiedBy>Irene Maseda Agüero</cp:lastModifiedBy>
  <cp:revision>3</cp:revision>
  <dcterms:created xsi:type="dcterms:W3CDTF">2019-02-22T14:36:00Z</dcterms:created>
  <dcterms:modified xsi:type="dcterms:W3CDTF">2019-02-22T14:36:00Z</dcterms:modified>
</cp:coreProperties>
</file>