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3729" w:rsidRPr="00BB16A8" w:rsidRDefault="00B53729" w:rsidP="00B53729">
      <w:pPr>
        <w:pStyle w:val="SOMHead"/>
        <w:spacing w:line="480" w:lineRule="auto"/>
        <w:jc w:val="both"/>
        <w:rPr>
          <w:color w:val="000000" w:themeColor="text1"/>
        </w:rPr>
      </w:pPr>
      <w:bookmarkStart w:id="0" w:name="_GoBack"/>
      <w:bookmarkEnd w:id="0"/>
      <w:r w:rsidRPr="00BB16A8">
        <w:rPr>
          <w:color w:val="000000" w:themeColor="text1"/>
        </w:rPr>
        <w:t>Supplementary Materials:</w:t>
      </w: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  <w:r w:rsidRPr="00BB16A8">
        <w:rPr>
          <w:color w:val="000000" w:themeColor="text1"/>
          <w:sz w:val="24"/>
          <w:szCs w:val="24"/>
        </w:rPr>
        <w:t xml:space="preserve">Figure S1. Naïve CD4 T-cells from </w:t>
      </w:r>
      <w:r w:rsidRPr="00BB16A8">
        <w:rPr>
          <w:i/>
          <w:color w:val="000000" w:themeColor="text1"/>
          <w:sz w:val="24"/>
          <w:szCs w:val="24"/>
        </w:rPr>
        <w:t>Lmna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</w:rPr>
        <w:t xml:space="preserve"> display normal early TCR-dependent signaling. </w:t>
      </w:r>
      <w:r w:rsidRPr="00BB16A8">
        <w:rPr>
          <w:b/>
          <w:color w:val="000000" w:themeColor="text1"/>
          <w:sz w:val="24"/>
          <w:szCs w:val="24"/>
        </w:rPr>
        <w:t>(</w:t>
      </w:r>
      <w:r>
        <w:rPr>
          <w:b/>
          <w:color w:val="000000" w:themeColor="text1"/>
          <w:sz w:val="24"/>
          <w:szCs w:val="24"/>
        </w:rPr>
        <w:t>a</w:t>
      </w:r>
      <w:r w:rsidRPr="00BB16A8">
        <w:rPr>
          <w:b/>
          <w:color w:val="000000" w:themeColor="text1"/>
          <w:sz w:val="24"/>
          <w:szCs w:val="24"/>
        </w:rPr>
        <w:t>)</w:t>
      </w:r>
      <w:r w:rsidRPr="00BB16A8">
        <w:rPr>
          <w:color w:val="000000" w:themeColor="text1"/>
          <w:sz w:val="24"/>
          <w:szCs w:val="24"/>
        </w:rPr>
        <w:t xml:space="preserve"> Intracellular levels of phosphorylated ERK1/2 was measured at short times after stimulation with anti-CD3/CD28 (left panels), and at short times after a second activation challenge with concanavalin A performed 1 day later (right panels). Data show a representative experiment (n = 1 pool of 3 mice). </w:t>
      </w:r>
      <w:r w:rsidRPr="00EF4490">
        <w:rPr>
          <w:b/>
          <w:color w:val="000000" w:themeColor="text1"/>
          <w:sz w:val="24"/>
          <w:szCs w:val="24"/>
        </w:rPr>
        <w:t>(b)</w:t>
      </w:r>
      <w:r w:rsidRPr="00BB16A8">
        <w:rPr>
          <w:color w:val="000000" w:themeColor="text1"/>
          <w:sz w:val="24"/>
          <w:szCs w:val="24"/>
        </w:rPr>
        <w:t xml:space="preserve"> Lamin A/C expression in unstimulated CD4</w:t>
      </w:r>
      <w:r w:rsidRPr="00BB16A8">
        <w:rPr>
          <w:color w:val="000000" w:themeColor="text1"/>
          <w:sz w:val="24"/>
          <w:szCs w:val="24"/>
          <w:vertAlign w:val="superscript"/>
        </w:rPr>
        <w:t>+</w:t>
      </w:r>
      <w:r w:rsidRPr="00BB16A8">
        <w:rPr>
          <w:color w:val="000000" w:themeColor="text1"/>
          <w:sz w:val="24"/>
          <w:szCs w:val="24"/>
        </w:rPr>
        <w:t xml:space="preserve"> T-cells (day 0) or in CD4</w:t>
      </w:r>
      <w:r w:rsidRPr="00BB16A8">
        <w:rPr>
          <w:color w:val="000000" w:themeColor="text1"/>
          <w:sz w:val="24"/>
          <w:szCs w:val="24"/>
          <w:vertAlign w:val="superscript"/>
        </w:rPr>
        <w:t>+</w:t>
      </w:r>
      <w:r w:rsidRPr="00BB16A8">
        <w:rPr>
          <w:color w:val="000000" w:themeColor="text1"/>
          <w:sz w:val="24"/>
          <w:szCs w:val="24"/>
        </w:rPr>
        <w:t xml:space="preserve"> T-cells that were stimulated with antibodies against CD3 and CD28 (1 day CD3/CD28). </w:t>
      </w:r>
    </w:p>
    <w:p w:rsidR="00580F65" w:rsidRDefault="00580F65" w:rsidP="00B53729">
      <w:pPr>
        <w:spacing w:line="480" w:lineRule="auto"/>
        <w:jc w:val="both"/>
        <w:rPr>
          <w:b/>
          <w:color w:val="000000" w:themeColor="text1"/>
          <w:sz w:val="24"/>
          <w:szCs w:val="24"/>
        </w:rPr>
      </w:pP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  <w:r w:rsidRPr="00BB16A8">
        <w:rPr>
          <w:b/>
          <w:color w:val="000000" w:themeColor="text1"/>
          <w:sz w:val="24"/>
          <w:szCs w:val="24"/>
        </w:rPr>
        <w:t>Figure S2.</w:t>
      </w:r>
      <w:r w:rsidRPr="00BB16A8">
        <w:rPr>
          <w:color w:val="000000" w:themeColor="text1"/>
          <w:sz w:val="24"/>
          <w:szCs w:val="24"/>
        </w:rPr>
        <w:t xml:space="preserve"> </w:t>
      </w:r>
      <w:r w:rsidRPr="00BB16A8">
        <w:rPr>
          <w:b/>
          <w:color w:val="000000" w:themeColor="text1"/>
          <w:sz w:val="24"/>
          <w:szCs w:val="24"/>
        </w:rPr>
        <w:t>A-type lamins are expressed in CD4</w:t>
      </w:r>
      <w:r w:rsidRPr="00BB16A8">
        <w:rPr>
          <w:b/>
          <w:color w:val="000000" w:themeColor="text1"/>
          <w:sz w:val="24"/>
          <w:szCs w:val="24"/>
          <w:vertAlign w:val="superscript"/>
        </w:rPr>
        <w:t>+</w:t>
      </w:r>
      <w:r w:rsidRPr="00BB16A8">
        <w:rPr>
          <w:b/>
          <w:color w:val="000000" w:themeColor="text1"/>
          <w:sz w:val="24"/>
          <w:szCs w:val="24"/>
        </w:rPr>
        <w:t xml:space="preserve"> T-cells </w:t>
      </w:r>
      <w:r w:rsidRPr="00BB16A8">
        <w:rPr>
          <w:b/>
          <w:i/>
          <w:color w:val="000000" w:themeColor="text1"/>
          <w:sz w:val="24"/>
          <w:szCs w:val="24"/>
        </w:rPr>
        <w:t>in vivo</w:t>
      </w:r>
      <w:r w:rsidRPr="00BB16A8">
        <w:rPr>
          <w:b/>
          <w:color w:val="000000" w:themeColor="text1"/>
          <w:sz w:val="24"/>
          <w:szCs w:val="24"/>
        </w:rPr>
        <w:t xml:space="preserve"> upon VACV infection. WT mice were inoculated or not with VACV intradermally in the footpad</w:t>
      </w:r>
      <w:r w:rsidRPr="00BB16A8">
        <w:rPr>
          <w:color w:val="000000" w:themeColor="text1"/>
          <w:sz w:val="24"/>
          <w:szCs w:val="24"/>
        </w:rPr>
        <w:t xml:space="preserve">. Plots and graphs show the amount of A-type lamins 1 or 2 days later (n=2 mice). Data are means </w:t>
      </w:r>
      <w:r w:rsidRPr="00BB16A8">
        <w:rPr>
          <w:color w:val="000000" w:themeColor="text1"/>
          <w:sz w:val="24"/>
          <w:szCs w:val="24"/>
        </w:rPr>
        <w:sym w:font="Symbol" w:char="F0B1"/>
      </w:r>
      <w:r w:rsidRPr="00BB16A8">
        <w:rPr>
          <w:color w:val="000000" w:themeColor="text1"/>
          <w:sz w:val="24"/>
          <w:szCs w:val="24"/>
        </w:rPr>
        <w:t xml:space="preserve"> SEM analyzed by One-way ANOVA with Bonferroni’s post-hoc multiple comparison test. *, P&lt;0.05; **, P&lt;0.01; ***, P&lt;0.001</w:t>
      </w:r>
    </w:p>
    <w:p w:rsidR="00B53729" w:rsidRPr="00BB16A8" w:rsidRDefault="00B53729" w:rsidP="00B53729">
      <w:pPr>
        <w:spacing w:line="480" w:lineRule="auto"/>
        <w:jc w:val="center"/>
        <w:rPr>
          <w:color w:val="000000" w:themeColor="text1"/>
          <w:sz w:val="24"/>
          <w:szCs w:val="24"/>
        </w:rPr>
      </w:pP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  <w:r w:rsidRPr="00BB16A8">
        <w:rPr>
          <w:b/>
          <w:color w:val="000000" w:themeColor="text1"/>
          <w:sz w:val="24"/>
          <w:szCs w:val="24"/>
        </w:rPr>
        <w:t>Figure S3.</w:t>
      </w:r>
      <w:r w:rsidRPr="00BB16A8">
        <w:rPr>
          <w:color w:val="000000" w:themeColor="text1"/>
          <w:sz w:val="24"/>
          <w:szCs w:val="24"/>
        </w:rPr>
        <w:t xml:space="preserve"> </w:t>
      </w:r>
      <w:r w:rsidRPr="00BB16A8">
        <w:rPr>
          <w:b/>
          <w:color w:val="000000" w:themeColor="text1"/>
          <w:sz w:val="24"/>
          <w:szCs w:val="24"/>
        </w:rPr>
        <w:t>Lamin A/C regulates IFN</w:t>
      </w:r>
      <w:r w:rsidRPr="00BB16A8">
        <w:rPr>
          <w:b/>
          <w:color w:val="000000" w:themeColor="text1"/>
          <w:sz w:val="24"/>
          <w:szCs w:val="24"/>
        </w:rPr>
        <w:sym w:font="Symbol" w:char="F067"/>
      </w:r>
      <w:r w:rsidRPr="00BB16A8">
        <w:rPr>
          <w:b/>
          <w:color w:val="000000" w:themeColor="text1"/>
          <w:sz w:val="24"/>
          <w:szCs w:val="24"/>
        </w:rPr>
        <w:t>, T-bet, Eomes, Blimp-1, GzmB and Prf1mRNA expression in Th1 differentiating cells</w:t>
      </w:r>
      <w:r w:rsidRPr="00BB16A8">
        <w:rPr>
          <w:color w:val="000000" w:themeColor="text1"/>
          <w:sz w:val="24"/>
          <w:szCs w:val="24"/>
        </w:rPr>
        <w:t>. CD4</w:t>
      </w:r>
      <w:r w:rsidRPr="00BB16A8">
        <w:rPr>
          <w:color w:val="000000" w:themeColor="text1"/>
          <w:sz w:val="24"/>
          <w:szCs w:val="24"/>
          <w:vertAlign w:val="superscript"/>
        </w:rPr>
        <w:t>+</w:t>
      </w:r>
      <w:r w:rsidRPr="00BB16A8">
        <w:rPr>
          <w:color w:val="000000" w:themeColor="text1"/>
          <w:sz w:val="24"/>
          <w:szCs w:val="24"/>
        </w:rPr>
        <w:t>CD25</w:t>
      </w:r>
      <w:r w:rsidRPr="00BB16A8">
        <w:rPr>
          <w:color w:val="000000" w:themeColor="text1"/>
          <w:sz w:val="24"/>
          <w:szCs w:val="24"/>
          <w:vertAlign w:val="superscript"/>
        </w:rPr>
        <w:t>-</w:t>
      </w:r>
      <w:r w:rsidRPr="00BB16A8">
        <w:rPr>
          <w:color w:val="000000" w:themeColor="text1"/>
          <w:sz w:val="24"/>
          <w:szCs w:val="24"/>
        </w:rPr>
        <w:t xml:space="preserve"> T-cells were isolated from spleens of WT and </w:t>
      </w:r>
      <w:r w:rsidRPr="00BB16A8">
        <w:rPr>
          <w:i/>
          <w:color w:val="000000" w:themeColor="text1"/>
          <w:sz w:val="24"/>
          <w:szCs w:val="24"/>
        </w:rPr>
        <w:t>Lmna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  <w:vertAlign w:val="superscript"/>
        </w:rPr>
        <w:t xml:space="preserve"> </w:t>
      </w:r>
      <w:r w:rsidRPr="00BB16A8">
        <w:rPr>
          <w:color w:val="000000" w:themeColor="text1"/>
          <w:sz w:val="24"/>
          <w:szCs w:val="24"/>
        </w:rPr>
        <w:t xml:space="preserve">mice and activated with anti-CD3/CD28 antibodies for 2 days. Some cells remained in culture with Th1 polarizing cytokines for additional 5 days. Graphs show the mRNA levels of the indicated genes quantified by RT-qPCR at 2 or 7 days. Data are means </w:t>
      </w:r>
      <w:r w:rsidRPr="00BB16A8">
        <w:rPr>
          <w:color w:val="000000" w:themeColor="text1"/>
          <w:sz w:val="24"/>
          <w:szCs w:val="24"/>
        </w:rPr>
        <w:sym w:font="Symbol" w:char="F0B1"/>
      </w:r>
      <w:r w:rsidRPr="00BB16A8">
        <w:rPr>
          <w:color w:val="000000" w:themeColor="text1"/>
          <w:sz w:val="24"/>
          <w:szCs w:val="24"/>
        </w:rPr>
        <w:t xml:space="preserve"> SEM of at least two independent experiments (n = pools of 3 mice) analyzed by Student’s </w:t>
      </w:r>
      <w:r w:rsidRPr="00BB16A8">
        <w:rPr>
          <w:i/>
          <w:color w:val="000000" w:themeColor="text1"/>
          <w:sz w:val="24"/>
          <w:szCs w:val="24"/>
        </w:rPr>
        <w:t>t</w:t>
      </w:r>
      <w:r w:rsidRPr="00BB16A8">
        <w:rPr>
          <w:color w:val="000000" w:themeColor="text1"/>
          <w:sz w:val="24"/>
          <w:szCs w:val="24"/>
        </w:rPr>
        <w:t xml:space="preserve">-test. *, P&lt;0.05; **, P&lt;0.01; ***, P&lt;0.001. </w:t>
      </w: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  <w:r w:rsidRPr="00BB16A8">
        <w:rPr>
          <w:b/>
          <w:color w:val="000000" w:themeColor="text1"/>
          <w:sz w:val="24"/>
          <w:szCs w:val="24"/>
        </w:rPr>
        <w:lastRenderedPageBreak/>
        <w:t>Figure S4</w:t>
      </w:r>
      <w:r w:rsidRPr="00BB16A8">
        <w:rPr>
          <w:color w:val="000000" w:themeColor="text1"/>
          <w:sz w:val="24"/>
          <w:szCs w:val="24"/>
        </w:rPr>
        <w:t xml:space="preserve">. </w:t>
      </w:r>
      <w:r w:rsidRPr="00BB16A8">
        <w:rPr>
          <w:b/>
          <w:color w:val="000000" w:themeColor="text1"/>
          <w:sz w:val="24"/>
          <w:szCs w:val="24"/>
        </w:rPr>
        <w:t>Lamin A/C enhances the cytotoxic capacity of CD4</w:t>
      </w:r>
      <w:r w:rsidRPr="00BB16A8">
        <w:rPr>
          <w:b/>
          <w:color w:val="000000" w:themeColor="text1"/>
          <w:sz w:val="24"/>
          <w:szCs w:val="24"/>
          <w:vertAlign w:val="superscript"/>
        </w:rPr>
        <w:t xml:space="preserve">+ </w:t>
      </w:r>
      <w:r w:rsidRPr="00BB16A8">
        <w:rPr>
          <w:b/>
          <w:color w:val="000000" w:themeColor="text1"/>
          <w:sz w:val="24"/>
          <w:szCs w:val="24"/>
        </w:rPr>
        <w:t xml:space="preserve">T-cells </w:t>
      </w:r>
      <w:r w:rsidRPr="00BB16A8">
        <w:rPr>
          <w:b/>
          <w:i/>
          <w:color w:val="000000" w:themeColor="text1"/>
          <w:sz w:val="24"/>
          <w:szCs w:val="24"/>
        </w:rPr>
        <w:t>in vivo</w:t>
      </w:r>
      <w:r w:rsidRPr="00BB16A8">
        <w:rPr>
          <w:b/>
          <w:color w:val="000000" w:themeColor="text1"/>
          <w:sz w:val="24"/>
          <w:szCs w:val="24"/>
        </w:rPr>
        <w:t>.</w:t>
      </w:r>
      <w:r w:rsidRPr="00BB16A8">
        <w:rPr>
          <w:color w:val="000000" w:themeColor="text1"/>
          <w:sz w:val="24"/>
          <w:szCs w:val="24"/>
        </w:rPr>
        <w:t xml:space="preserve"> </w:t>
      </w:r>
      <w:r w:rsidRPr="00BB16A8">
        <w:rPr>
          <w:i/>
          <w:color w:val="000000" w:themeColor="text1"/>
          <w:sz w:val="24"/>
          <w:szCs w:val="24"/>
        </w:rPr>
        <w:t>Rag1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  <w:vertAlign w:val="superscript"/>
        </w:rPr>
        <w:t xml:space="preserve"> </w:t>
      </w:r>
      <w:r w:rsidRPr="00BB16A8">
        <w:rPr>
          <w:color w:val="000000" w:themeColor="text1"/>
          <w:sz w:val="24"/>
          <w:szCs w:val="24"/>
        </w:rPr>
        <w:t>mice were inoculated intravenously with either naïve CD45.2/WT or CD45.2/</w:t>
      </w:r>
      <w:r w:rsidRPr="00BB16A8">
        <w:rPr>
          <w:i/>
          <w:color w:val="000000" w:themeColor="text1"/>
          <w:sz w:val="24"/>
          <w:szCs w:val="24"/>
        </w:rPr>
        <w:t>Lmna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</w:rPr>
        <w:t xml:space="preserve"> CD4</w:t>
      </w:r>
      <w:r w:rsidRPr="00BB16A8">
        <w:rPr>
          <w:color w:val="000000" w:themeColor="text1"/>
          <w:sz w:val="24"/>
          <w:szCs w:val="24"/>
          <w:vertAlign w:val="superscript"/>
        </w:rPr>
        <w:t>+</w:t>
      </w:r>
      <w:r w:rsidRPr="00BB16A8">
        <w:rPr>
          <w:color w:val="000000" w:themeColor="text1"/>
          <w:sz w:val="24"/>
          <w:szCs w:val="24"/>
        </w:rPr>
        <w:t xml:space="preserve">/OTII T-cells, and infected with VACV-OVA intraperitoneally. After 5 days, splenocytes from CD45.2/WT/dsRED and CD45.1/WT mice were isolated and loaded or not with OVA peptide, respectively. A mix approximately 1:1 CD45.2/WT/dsRED+OVA and CD45.1/WT-OVA splenocytes were inoculated intravenously in the recipient </w:t>
      </w:r>
      <w:r w:rsidRPr="00BB16A8">
        <w:rPr>
          <w:i/>
          <w:color w:val="000000" w:themeColor="text1"/>
          <w:sz w:val="24"/>
          <w:szCs w:val="24"/>
        </w:rPr>
        <w:t>Rag1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</w:rPr>
        <w:t xml:space="preserve"> mice, which were previously inoculated and infected. After 16 hours, spleens were collected and analyzed by flow cytometry for the : </w:t>
      </w:r>
      <w:r w:rsidRPr="00EF4490">
        <w:rPr>
          <w:b/>
          <w:color w:val="000000" w:themeColor="text1"/>
          <w:sz w:val="24"/>
          <w:szCs w:val="24"/>
        </w:rPr>
        <w:t>(a)</w:t>
      </w:r>
      <w:r w:rsidRPr="00BB16A8">
        <w:rPr>
          <w:b/>
          <w:color w:val="000000" w:themeColor="text1"/>
          <w:sz w:val="24"/>
          <w:szCs w:val="24"/>
        </w:rPr>
        <w:t xml:space="preserve"> </w:t>
      </w:r>
      <w:r w:rsidRPr="00BB16A8">
        <w:rPr>
          <w:color w:val="000000" w:themeColor="text1"/>
          <w:sz w:val="24"/>
          <w:szCs w:val="24"/>
        </w:rPr>
        <w:t xml:space="preserve">the killing capacity of CD4/OTII cells of each genotype, by calculating the ratio between CD45.2/WT/dsRED/+OVA and CD45.1/WT/-OVA cells; and </w:t>
      </w:r>
      <w:r w:rsidRPr="00EF4490">
        <w:rPr>
          <w:b/>
          <w:color w:val="000000" w:themeColor="text1"/>
          <w:sz w:val="24"/>
          <w:szCs w:val="24"/>
        </w:rPr>
        <w:t>(b)</w:t>
      </w:r>
      <w:r w:rsidRPr="00BB16A8">
        <w:rPr>
          <w:color w:val="000000" w:themeColor="text1"/>
          <w:sz w:val="24"/>
          <w:szCs w:val="24"/>
        </w:rPr>
        <w:t xml:space="preserve"> the percentage of CD4/OTII T-cells. Mice adoptively transferred with CD4/OTII T-cells only, and mice transferred with splenocytes in the absence of CD4/OTII T-cells were used as controls (n=8 WT and 8 </w:t>
      </w:r>
      <w:r w:rsidRPr="00BB16A8">
        <w:rPr>
          <w:i/>
          <w:color w:val="000000" w:themeColor="text1"/>
          <w:sz w:val="24"/>
          <w:szCs w:val="24"/>
        </w:rPr>
        <w:t>Lmna</w:t>
      </w:r>
      <w:r w:rsidRPr="00BB16A8">
        <w:rPr>
          <w:i/>
          <w:color w:val="000000" w:themeColor="text1"/>
          <w:sz w:val="24"/>
          <w:szCs w:val="24"/>
          <w:vertAlign w:val="superscript"/>
        </w:rPr>
        <w:t>-/-</w:t>
      </w:r>
      <w:r w:rsidRPr="00BB16A8">
        <w:rPr>
          <w:color w:val="000000" w:themeColor="text1"/>
          <w:sz w:val="24"/>
          <w:szCs w:val="24"/>
        </w:rPr>
        <w:t xml:space="preserve"> mice from two independent experiments). Data are means </w:t>
      </w:r>
      <w:r w:rsidRPr="00BB16A8">
        <w:rPr>
          <w:color w:val="000000" w:themeColor="text1"/>
          <w:sz w:val="24"/>
          <w:szCs w:val="24"/>
        </w:rPr>
        <w:sym w:font="Symbol" w:char="F0B1"/>
      </w:r>
      <w:r w:rsidRPr="00BB16A8">
        <w:rPr>
          <w:color w:val="000000" w:themeColor="text1"/>
          <w:sz w:val="24"/>
          <w:szCs w:val="24"/>
        </w:rPr>
        <w:t xml:space="preserve"> SEM analyzed by unpaired Student’s t-test. *P&lt;0.05.</w:t>
      </w: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</w:p>
    <w:p w:rsidR="00B53729" w:rsidRPr="00BB16A8" w:rsidRDefault="00B53729" w:rsidP="00B53729">
      <w:pPr>
        <w:spacing w:line="480" w:lineRule="auto"/>
        <w:jc w:val="both"/>
        <w:rPr>
          <w:color w:val="000000" w:themeColor="text1"/>
          <w:sz w:val="24"/>
          <w:szCs w:val="24"/>
        </w:rPr>
      </w:pPr>
    </w:p>
    <w:p w:rsidR="009103A8" w:rsidRDefault="009103A8"/>
    <w:sectPr w:rsidR="009103A8" w:rsidSect="004A10BE">
      <w:footerReference w:type="default" r:id="rId7"/>
      <w:headerReference w:type="first" r:id="rId8"/>
      <w:footerReference w:type="first" r:id="rId9"/>
      <w:pgSz w:w="12240" w:h="15840"/>
      <w:pgMar w:top="1440" w:right="1440" w:bottom="1440" w:left="1440" w:header="432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D0B74">
      <w:r>
        <w:separator/>
      </w:r>
    </w:p>
  </w:endnote>
  <w:endnote w:type="continuationSeparator" w:id="0">
    <w:p w:rsidR="00000000" w:rsidRDefault="002D0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9123342"/>
      <w:docPartObj>
        <w:docPartGallery w:val="Page Numbers (Bottom of Page)"/>
        <w:docPartUnique/>
      </w:docPartObj>
    </w:sdtPr>
    <w:sdtEndPr/>
    <w:sdtContent>
      <w:p w:rsidR="00CF3EF1" w:rsidRDefault="00580F65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0B74" w:rsidRPr="002D0B74">
          <w:rPr>
            <w:noProof/>
            <w:lang w:val="es-ES"/>
          </w:rPr>
          <w:t>2</w:t>
        </w:r>
        <w:r>
          <w:fldChar w:fldCharType="end"/>
        </w:r>
      </w:p>
    </w:sdtContent>
  </w:sdt>
  <w:p w:rsidR="00CF3EF1" w:rsidRDefault="002D0B7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0033087"/>
      <w:docPartObj>
        <w:docPartGallery w:val="Page Numbers (Bottom of Page)"/>
        <w:docPartUnique/>
      </w:docPartObj>
    </w:sdtPr>
    <w:sdtEndPr/>
    <w:sdtContent>
      <w:p w:rsidR="00CF3EF1" w:rsidRDefault="00580F65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0B74" w:rsidRPr="002D0B74">
          <w:rPr>
            <w:noProof/>
            <w:lang w:val="es-ES"/>
          </w:rPr>
          <w:t>1</w:t>
        </w:r>
        <w:r>
          <w:fldChar w:fldCharType="end"/>
        </w:r>
      </w:p>
    </w:sdtContent>
  </w:sdt>
  <w:p w:rsidR="00CF3EF1" w:rsidRDefault="002D0B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D0B74">
      <w:r>
        <w:separator/>
      </w:r>
    </w:p>
  </w:footnote>
  <w:footnote w:type="continuationSeparator" w:id="0">
    <w:p w:rsidR="00000000" w:rsidRDefault="002D0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EF1" w:rsidRDefault="00580F65" w:rsidP="004A10BE">
    <w:pPr>
      <w:pStyle w:val="Encabezado"/>
    </w:pPr>
    <w:r>
      <w:tab/>
    </w:r>
  </w:p>
  <w:p w:rsidR="00CF3EF1" w:rsidRDefault="002D0B74" w:rsidP="004A10BE">
    <w:pPr>
      <w:pStyle w:val="Encabezado"/>
    </w:pPr>
  </w:p>
  <w:p w:rsidR="00CF3EF1" w:rsidRDefault="00580F65" w:rsidP="004A10BE">
    <w:pPr>
      <w:pStyle w:val="Encabezado"/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729"/>
    <w:rsid w:val="002D0B74"/>
    <w:rsid w:val="00580F65"/>
    <w:rsid w:val="00823F62"/>
    <w:rsid w:val="009103A8"/>
    <w:rsid w:val="00947239"/>
    <w:rsid w:val="00B53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2948A3-F528-4F95-BF88-7FDFB2174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3729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B53729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53729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Encabezado">
    <w:name w:val="header"/>
    <w:basedOn w:val="Normal"/>
    <w:link w:val="EncabezadoCar"/>
    <w:rsid w:val="00B53729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EncabezadoCar">
    <w:name w:val="Encabezado Car"/>
    <w:basedOn w:val="Fuentedeprrafopredeter"/>
    <w:link w:val="Encabezado"/>
    <w:rsid w:val="00B53729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OMHead">
    <w:name w:val="SOMHead"/>
    <w:basedOn w:val="Normal"/>
    <w:rsid w:val="00B53729"/>
    <w:pPr>
      <w:keepNext/>
      <w:spacing w:before="240"/>
      <w:outlineLvl w:val="0"/>
    </w:pPr>
    <w:rPr>
      <w:rFonts w:eastAsia="Times New Roman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F6986-10D8-4F11-86E8-C0532F3FE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2210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May, Mercy</dc:creator>
  <cp:lastModifiedBy>Irene Maseda Agüero</cp:lastModifiedBy>
  <cp:revision>2</cp:revision>
  <dcterms:created xsi:type="dcterms:W3CDTF">2018-10-25T10:25:00Z</dcterms:created>
  <dcterms:modified xsi:type="dcterms:W3CDTF">2018-10-25T10:25:00Z</dcterms:modified>
</cp:coreProperties>
</file>