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115485" w14:textId="0FDA2A69" w:rsidR="0090115C" w:rsidRPr="0090115C" w:rsidRDefault="0090115C" w:rsidP="0090115C">
      <w:pPr>
        <w:widowControl w:val="0"/>
        <w:spacing w:after="120" w:line="480" w:lineRule="auto"/>
        <w:jc w:val="center"/>
        <w:rPr>
          <w:rFonts w:ascii="Times New Roman" w:hAnsi="Times New Roman" w:cs="Times New Roman"/>
          <w:b/>
          <w:lang w:val="en-GB"/>
        </w:rPr>
      </w:pPr>
      <w:r w:rsidRPr="0090115C">
        <w:rPr>
          <w:rFonts w:ascii="Times New Roman" w:hAnsi="Times New Roman" w:cs="Times New Roman"/>
          <w:b/>
          <w:lang w:val="en-GB"/>
        </w:rPr>
        <w:t xml:space="preserve">Online </w:t>
      </w:r>
      <w:r w:rsidR="001F78C3">
        <w:rPr>
          <w:rFonts w:ascii="Times New Roman" w:hAnsi="Times New Roman" w:cs="Times New Roman"/>
          <w:b/>
          <w:lang w:val="en-GB"/>
        </w:rPr>
        <w:t>Supplement</w:t>
      </w:r>
    </w:p>
    <w:p w14:paraId="07E466FC" w14:textId="77777777" w:rsidR="0090115C" w:rsidRPr="0090115C" w:rsidRDefault="0090115C" w:rsidP="0090115C">
      <w:pPr>
        <w:widowControl w:val="0"/>
        <w:spacing w:after="120" w:line="480" w:lineRule="auto"/>
        <w:jc w:val="both"/>
        <w:rPr>
          <w:rFonts w:ascii="Times New Roman" w:hAnsi="Times New Roman" w:cs="Times New Roman"/>
          <w:b/>
          <w:lang w:val="en-GB"/>
        </w:rPr>
      </w:pPr>
    </w:p>
    <w:p w14:paraId="3D28543C" w14:textId="77777777" w:rsidR="0090115C" w:rsidRPr="00AA2BA7" w:rsidRDefault="0090115C" w:rsidP="0090115C">
      <w:pPr>
        <w:pStyle w:val="p1"/>
        <w:spacing w:after="120" w:line="480" w:lineRule="auto"/>
        <w:jc w:val="center"/>
        <w:rPr>
          <w:rFonts w:ascii="Times New Roman" w:hAnsi="Times New Roman"/>
          <w:b/>
          <w:sz w:val="28"/>
          <w:szCs w:val="28"/>
          <w:lang w:val="en-GB"/>
        </w:rPr>
      </w:pPr>
      <w:bookmarkStart w:id="0" w:name="_Hlk38794552"/>
      <w:r w:rsidRPr="00AA2BA7">
        <w:rPr>
          <w:rFonts w:ascii="Times New Roman" w:hAnsi="Times New Roman"/>
          <w:b/>
          <w:sz w:val="28"/>
          <w:szCs w:val="28"/>
          <w:lang w:val="en-GB"/>
        </w:rPr>
        <w:t xml:space="preserve">Venous </w:t>
      </w:r>
      <w:r w:rsidRPr="00B75485">
        <w:rPr>
          <w:rFonts w:ascii="Times New Roman" w:hAnsi="Times New Roman"/>
          <w:b/>
          <w:sz w:val="28"/>
          <w:szCs w:val="28"/>
          <w:lang w:val="en-GB"/>
        </w:rPr>
        <w:t>lactate</w:t>
      </w:r>
      <w:r w:rsidRPr="00AA2BA7">
        <w:rPr>
          <w:rFonts w:ascii="Times New Roman" w:hAnsi="Times New Roman"/>
          <w:b/>
          <w:sz w:val="28"/>
          <w:szCs w:val="28"/>
          <w:lang w:val="en-GB"/>
        </w:rPr>
        <w:t xml:space="preserve"> improves the prediction of in-hospital adverse outcomes in normotensive pulmonary embolism</w:t>
      </w:r>
    </w:p>
    <w:bookmarkEnd w:id="0"/>
    <w:p w14:paraId="4F3450D8" w14:textId="77777777" w:rsidR="0090115C" w:rsidRPr="00AA2BA7" w:rsidRDefault="0090115C" w:rsidP="0090115C">
      <w:pPr>
        <w:pStyle w:val="p1"/>
        <w:spacing w:after="120" w:line="360" w:lineRule="auto"/>
        <w:jc w:val="both"/>
        <w:rPr>
          <w:rFonts w:ascii="Times New Roman" w:hAnsi="Times New Roman"/>
          <w:sz w:val="28"/>
          <w:szCs w:val="28"/>
          <w:lang w:val="en-GB"/>
        </w:rPr>
      </w:pPr>
    </w:p>
    <w:p w14:paraId="3399469A" w14:textId="4756B6AD" w:rsidR="0090115C" w:rsidRPr="00AA2BA7" w:rsidRDefault="0090115C" w:rsidP="0090115C">
      <w:pPr>
        <w:pStyle w:val="p1"/>
        <w:spacing w:after="120" w:line="360" w:lineRule="auto"/>
        <w:jc w:val="both"/>
        <w:rPr>
          <w:rFonts w:ascii="Times New Roman" w:eastAsia="Times New Roman" w:hAnsi="Times New Roman"/>
          <w:sz w:val="20"/>
          <w:szCs w:val="20"/>
          <w:lang w:val="en-GB" w:eastAsia="en-US"/>
        </w:rPr>
      </w:pPr>
      <w:r w:rsidRPr="00AA2BA7">
        <w:rPr>
          <w:rStyle w:val="s1"/>
          <w:rFonts w:ascii="Times New Roman" w:hAnsi="Times New Roman"/>
          <w:sz w:val="20"/>
          <w:szCs w:val="20"/>
          <w:lang w:val="en-GB"/>
        </w:rPr>
        <w:t>Matthias Ebner, M</w:t>
      </w:r>
      <w:r>
        <w:rPr>
          <w:rStyle w:val="s1"/>
          <w:rFonts w:ascii="Times New Roman" w:hAnsi="Times New Roman"/>
          <w:sz w:val="20"/>
          <w:szCs w:val="20"/>
          <w:lang w:val="en-GB"/>
        </w:rPr>
        <w:t>D</w:t>
      </w:r>
      <w:r w:rsidRPr="00AA2BA7">
        <w:rPr>
          <w:rStyle w:val="s1"/>
          <w:rFonts w:ascii="Times New Roman" w:hAnsi="Times New Roman"/>
          <w:sz w:val="20"/>
          <w:szCs w:val="20"/>
          <w:lang w:val="en-GB"/>
        </w:rPr>
        <w:t xml:space="preserve">, Charlotta F. Pagel, Carmen </w:t>
      </w:r>
      <w:proofErr w:type="spellStart"/>
      <w:r w:rsidRPr="00AA2BA7">
        <w:rPr>
          <w:rStyle w:val="s1"/>
          <w:rFonts w:ascii="Times New Roman" w:hAnsi="Times New Roman"/>
          <w:sz w:val="20"/>
          <w:szCs w:val="20"/>
          <w:lang w:val="en-GB"/>
        </w:rPr>
        <w:t>Sentler</w:t>
      </w:r>
      <w:proofErr w:type="spellEnd"/>
      <w:r w:rsidRPr="00AA2BA7">
        <w:rPr>
          <w:rStyle w:val="s1"/>
          <w:rFonts w:ascii="Times New Roman" w:hAnsi="Times New Roman"/>
          <w:sz w:val="20"/>
          <w:szCs w:val="20"/>
          <w:lang w:val="en-GB"/>
        </w:rPr>
        <w:t xml:space="preserve">, </w:t>
      </w:r>
      <w:proofErr w:type="spellStart"/>
      <w:r w:rsidRPr="00AA2BA7">
        <w:rPr>
          <w:rFonts w:ascii="Times New Roman" w:hAnsi="Times New Roman"/>
          <w:sz w:val="20"/>
          <w:szCs w:val="20"/>
          <w:lang w:val="en-GB"/>
        </w:rPr>
        <w:t>Veli-Pekka</w:t>
      </w:r>
      <w:proofErr w:type="spellEnd"/>
      <w:r w:rsidRPr="00AA2BA7">
        <w:rPr>
          <w:rFonts w:ascii="Times New Roman" w:hAnsi="Times New Roman"/>
          <w:sz w:val="20"/>
          <w:szCs w:val="20"/>
          <w:lang w:val="en-GB"/>
        </w:rPr>
        <w:t xml:space="preserve"> </w:t>
      </w:r>
      <w:proofErr w:type="spellStart"/>
      <w:r w:rsidRPr="00AA2BA7">
        <w:rPr>
          <w:rFonts w:ascii="Times New Roman" w:hAnsi="Times New Roman"/>
          <w:sz w:val="20"/>
          <w:szCs w:val="20"/>
          <w:lang w:val="en-GB"/>
        </w:rPr>
        <w:t>Harjola</w:t>
      </w:r>
      <w:proofErr w:type="spellEnd"/>
      <w:r w:rsidRPr="00AA2BA7">
        <w:rPr>
          <w:rFonts w:ascii="Times New Roman" w:hAnsi="Times New Roman"/>
          <w:sz w:val="20"/>
          <w:szCs w:val="20"/>
          <w:lang w:val="en-GB"/>
        </w:rPr>
        <w:t xml:space="preserve">, MD, PhD, Héctor Bueno, MD, PhD, </w:t>
      </w:r>
      <w:r w:rsidRPr="00AA2BA7">
        <w:rPr>
          <w:rFonts w:ascii="Times New Roman" w:eastAsia="MS Mincho" w:hAnsi="Times New Roman"/>
          <w:sz w:val="20"/>
          <w:szCs w:val="20"/>
          <w:lang w:val="en-GB"/>
        </w:rPr>
        <w:t xml:space="preserve">Markus H. </w:t>
      </w:r>
      <w:proofErr w:type="spellStart"/>
      <w:r w:rsidRPr="00AA2BA7">
        <w:rPr>
          <w:rFonts w:ascii="Times New Roman" w:eastAsia="MS Mincho" w:hAnsi="Times New Roman"/>
          <w:sz w:val="20"/>
          <w:szCs w:val="20"/>
          <w:lang w:val="en-GB"/>
        </w:rPr>
        <w:t>Lerchbaumer</w:t>
      </w:r>
      <w:proofErr w:type="spellEnd"/>
      <w:r w:rsidRPr="00AA2BA7">
        <w:rPr>
          <w:rFonts w:ascii="Times New Roman" w:eastAsia="MS Mincho" w:hAnsi="Times New Roman"/>
          <w:sz w:val="20"/>
          <w:szCs w:val="20"/>
          <w:lang w:val="en-GB"/>
        </w:rPr>
        <w:t xml:space="preserve">, MD, </w:t>
      </w:r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 xml:space="preserve">Karl </w:t>
      </w:r>
      <w:proofErr w:type="spellStart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>Stangl</w:t>
      </w:r>
      <w:proofErr w:type="spellEnd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 xml:space="preserve">, MD, </w:t>
      </w:r>
      <w:r w:rsidRPr="00AA2BA7">
        <w:rPr>
          <w:rFonts w:ascii="Times New Roman" w:eastAsia="MS Mincho" w:hAnsi="Times New Roman"/>
          <w:sz w:val="20"/>
          <w:szCs w:val="20"/>
          <w:lang w:val="en-GB"/>
        </w:rPr>
        <w:t xml:space="preserve">Burkert </w:t>
      </w:r>
      <w:proofErr w:type="spellStart"/>
      <w:r w:rsidRPr="00AA2BA7">
        <w:rPr>
          <w:rFonts w:ascii="Times New Roman" w:eastAsia="MS Mincho" w:hAnsi="Times New Roman"/>
          <w:sz w:val="20"/>
          <w:szCs w:val="20"/>
          <w:lang w:val="en-GB"/>
        </w:rPr>
        <w:t>Pieske</w:t>
      </w:r>
      <w:proofErr w:type="spellEnd"/>
      <w:r w:rsidRPr="00AA2BA7">
        <w:rPr>
          <w:rFonts w:ascii="Times New Roman" w:eastAsia="MS Mincho" w:hAnsi="Times New Roman"/>
          <w:sz w:val="20"/>
          <w:szCs w:val="20"/>
          <w:lang w:val="en-GB"/>
        </w:rPr>
        <w:t xml:space="preserve">, MD, </w:t>
      </w:r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 xml:space="preserve">Gerd </w:t>
      </w:r>
      <w:proofErr w:type="spellStart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>Hasenfuß</w:t>
      </w:r>
      <w:proofErr w:type="spellEnd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 xml:space="preserve">, MD, Stavros V. </w:t>
      </w:r>
      <w:proofErr w:type="spellStart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>Konstantinides</w:t>
      </w:r>
      <w:proofErr w:type="spellEnd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 xml:space="preserve">, MD, PhD, Mareike </w:t>
      </w:r>
      <w:proofErr w:type="spellStart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>Lankeit</w:t>
      </w:r>
      <w:proofErr w:type="spellEnd"/>
      <w:r w:rsidRPr="00AA2BA7">
        <w:rPr>
          <w:rStyle w:val="s1"/>
          <w:rFonts w:ascii="Times New Roman" w:hAnsi="Times New Roman"/>
          <w:sz w:val="20"/>
          <w:szCs w:val="20"/>
          <w:lang w:val="en-GB" w:eastAsia="en-US"/>
        </w:rPr>
        <w:t>, MD</w:t>
      </w:r>
    </w:p>
    <w:p w14:paraId="1AD220F9" w14:textId="77777777" w:rsidR="0090115C" w:rsidRPr="0090115C" w:rsidRDefault="0090115C" w:rsidP="0090115C">
      <w:pPr>
        <w:widowControl w:val="0"/>
        <w:tabs>
          <w:tab w:val="left" w:pos="13325"/>
        </w:tabs>
        <w:spacing w:after="120" w:line="360" w:lineRule="auto"/>
        <w:ind w:right="-36"/>
        <w:jc w:val="both"/>
        <w:rPr>
          <w:rFonts w:ascii="Times New Roman" w:hAnsi="Times New Roman" w:cs="Times New Roman"/>
          <w:vertAlign w:val="superscript"/>
          <w:lang w:val="en-GB"/>
        </w:rPr>
      </w:pPr>
    </w:p>
    <w:p w14:paraId="0A47C175" w14:textId="77777777" w:rsidR="0090115C" w:rsidRPr="0090115C" w:rsidRDefault="0090115C" w:rsidP="0090115C">
      <w:pPr>
        <w:widowControl w:val="0"/>
        <w:tabs>
          <w:tab w:val="left" w:pos="13325"/>
        </w:tabs>
        <w:spacing w:after="120" w:line="480" w:lineRule="auto"/>
        <w:ind w:right="-36"/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90115C">
        <w:rPr>
          <w:rFonts w:ascii="Times New Roman" w:hAnsi="Times New Roman" w:cs="Times New Roman"/>
          <w:b/>
          <w:sz w:val="20"/>
          <w:szCs w:val="20"/>
          <w:lang w:val="en-GB"/>
        </w:rPr>
        <w:t xml:space="preserve">Published in: </w:t>
      </w:r>
    </w:p>
    <w:p w14:paraId="7DD5668A" w14:textId="7A055B57" w:rsidR="0090115C" w:rsidRPr="0090115C" w:rsidRDefault="001F78C3" w:rsidP="0090115C">
      <w:pPr>
        <w:widowControl w:val="0"/>
        <w:tabs>
          <w:tab w:val="left" w:pos="13325"/>
        </w:tabs>
        <w:spacing w:after="120" w:line="480" w:lineRule="auto"/>
        <w:ind w:right="-36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European Journal of Internal Medicine</w:t>
      </w:r>
    </w:p>
    <w:p w14:paraId="7ECBAF72" w14:textId="77777777" w:rsidR="0090115C" w:rsidRPr="0090115C" w:rsidRDefault="0090115C" w:rsidP="0090115C">
      <w:pPr>
        <w:widowControl w:val="0"/>
        <w:tabs>
          <w:tab w:val="left" w:pos="13325"/>
        </w:tabs>
        <w:spacing w:after="120" w:line="480" w:lineRule="auto"/>
        <w:ind w:right="-36"/>
        <w:jc w:val="both"/>
        <w:rPr>
          <w:rFonts w:ascii="Times New Roman" w:hAnsi="Times New Roman" w:cs="Times New Roman"/>
          <w:b/>
          <w:bCs/>
          <w:sz w:val="20"/>
          <w:szCs w:val="20"/>
          <w:lang w:val="en-GB"/>
        </w:rPr>
      </w:pPr>
    </w:p>
    <w:p w14:paraId="6716973B" w14:textId="77777777" w:rsidR="0090115C" w:rsidRPr="0090115C" w:rsidRDefault="0090115C" w:rsidP="0090115C">
      <w:pPr>
        <w:widowControl w:val="0"/>
        <w:tabs>
          <w:tab w:val="left" w:pos="13325"/>
        </w:tabs>
        <w:spacing w:after="120" w:line="480" w:lineRule="auto"/>
        <w:ind w:right="-36"/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90115C">
        <w:rPr>
          <w:rFonts w:ascii="Times New Roman" w:hAnsi="Times New Roman" w:cs="Times New Roman"/>
          <w:b/>
          <w:sz w:val="20"/>
          <w:szCs w:val="20"/>
          <w:lang w:val="en-GB"/>
        </w:rPr>
        <w:t>Corresponding author:</w:t>
      </w:r>
    </w:p>
    <w:p w14:paraId="68B4A526" w14:textId="312ECF67" w:rsidR="0090115C" w:rsidRPr="0090115C" w:rsidRDefault="0090115C" w:rsidP="0090115C">
      <w:pPr>
        <w:widowControl w:val="0"/>
        <w:tabs>
          <w:tab w:val="left" w:pos="13325"/>
        </w:tabs>
        <w:spacing w:after="120" w:line="480" w:lineRule="auto"/>
        <w:ind w:right="-36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90115C">
        <w:rPr>
          <w:rFonts w:ascii="Times New Roman" w:hAnsi="Times New Roman" w:cs="Times New Roman"/>
          <w:sz w:val="20"/>
          <w:szCs w:val="20"/>
          <w:lang w:val="en-GB"/>
        </w:rPr>
        <w:t xml:space="preserve">Mareike </w:t>
      </w:r>
      <w:proofErr w:type="spellStart"/>
      <w:r w:rsidRPr="0090115C">
        <w:rPr>
          <w:rFonts w:ascii="Times New Roman" w:hAnsi="Times New Roman" w:cs="Times New Roman"/>
          <w:sz w:val="20"/>
          <w:szCs w:val="20"/>
          <w:lang w:val="en-GB"/>
        </w:rPr>
        <w:t>Lankeit</w:t>
      </w:r>
      <w:proofErr w:type="spellEnd"/>
      <w:r w:rsidRPr="0090115C">
        <w:rPr>
          <w:rFonts w:ascii="Times New Roman" w:hAnsi="Times New Roman" w:cs="Times New Roman"/>
          <w:sz w:val="20"/>
          <w:szCs w:val="20"/>
          <w:lang w:val="en-GB"/>
        </w:rPr>
        <w:t xml:space="preserve">, MD, PhD, FESC, Department of Internal Medicine and Cardiology, Campus Virchow Klinikum, </w:t>
      </w:r>
      <w:proofErr w:type="spellStart"/>
      <w:r w:rsidRPr="0090115C">
        <w:rPr>
          <w:rFonts w:ascii="Times New Roman" w:hAnsi="Times New Roman" w:cs="Times New Roman"/>
          <w:sz w:val="20"/>
          <w:szCs w:val="20"/>
          <w:lang w:val="en-GB"/>
        </w:rPr>
        <w:t>Charité</w:t>
      </w:r>
      <w:proofErr w:type="spellEnd"/>
      <w:r w:rsidRPr="0090115C">
        <w:rPr>
          <w:rFonts w:ascii="Times New Roman" w:hAnsi="Times New Roman" w:cs="Times New Roman"/>
          <w:sz w:val="20"/>
          <w:szCs w:val="20"/>
          <w:lang w:val="en-GB"/>
        </w:rPr>
        <w:t xml:space="preserve"> – University Medicine Berlin, Augustenburger Platz 1, 13353 Berlin, Germany. Phone: +49 (0)30 / 450 665 381, fax: +49 (0)30 / 450 7 565 381, email: </w:t>
      </w:r>
      <w:r w:rsidRPr="00B94216">
        <w:rPr>
          <w:rFonts w:ascii="Times New Roman" w:hAnsi="Times New Roman" w:cs="Times New Roman"/>
          <w:sz w:val="20"/>
          <w:szCs w:val="20"/>
          <w:lang w:val="en-GB"/>
        </w:rPr>
        <w:t>mareike.lankeit@charite.de</w:t>
      </w:r>
    </w:p>
    <w:p w14:paraId="7530802A" w14:textId="77777777" w:rsidR="0090115C" w:rsidRPr="0067629C" w:rsidRDefault="0090115C" w:rsidP="0090115C">
      <w:pPr>
        <w:widowControl w:val="0"/>
        <w:spacing w:after="120" w:line="480" w:lineRule="auto"/>
        <w:jc w:val="both"/>
        <w:rPr>
          <w:b/>
          <w:lang w:val="en-GB"/>
        </w:rPr>
      </w:pPr>
    </w:p>
    <w:p w14:paraId="45E56874" w14:textId="21A2227A" w:rsidR="00A724FF" w:rsidRPr="00EC0CFD" w:rsidRDefault="0090115C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column"/>
      </w:r>
      <w:r w:rsidR="004631B3" w:rsidRPr="00EC0CFD">
        <w:rPr>
          <w:rFonts w:ascii="Times New Roman" w:hAnsi="Times New Roman" w:cs="Times New Roman"/>
          <w:b/>
          <w:sz w:val="24"/>
        </w:rPr>
        <w:lastRenderedPageBreak/>
        <w:t>Supplementary</w:t>
      </w:r>
      <w:r w:rsidR="00A724FF" w:rsidRPr="00EC0CFD">
        <w:rPr>
          <w:rFonts w:ascii="Times New Roman" w:hAnsi="Times New Roman" w:cs="Times New Roman"/>
          <w:b/>
          <w:sz w:val="24"/>
        </w:rPr>
        <w:t xml:space="preserve"> </w:t>
      </w:r>
      <w:r w:rsidR="004631B3" w:rsidRPr="00EC0CFD">
        <w:rPr>
          <w:rFonts w:ascii="Times New Roman" w:hAnsi="Times New Roman" w:cs="Times New Roman"/>
          <w:b/>
          <w:sz w:val="24"/>
        </w:rPr>
        <w:t>R</w:t>
      </w:r>
      <w:r w:rsidR="00A724FF" w:rsidRPr="00EC0CFD">
        <w:rPr>
          <w:rFonts w:ascii="Times New Roman" w:hAnsi="Times New Roman" w:cs="Times New Roman"/>
          <w:b/>
          <w:sz w:val="24"/>
        </w:rPr>
        <w:t>esults</w:t>
      </w:r>
    </w:p>
    <w:p w14:paraId="15D924FE" w14:textId="7F86D32F" w:rsidR="00A724FF" w:rsidRPr="00EC0CFD" w:rsidRDefault="00A724FF" w:rsidP="00A5273B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482AB5" w14:textId="58CACCF3" w:rsidR="00A724FF" w:rsidRPr="00EC0CFD" w:rsidRDefault="00A724FF" w:rsidP="00144892">
      <w:pPr>
        <w:spacing w:after="120" w:line="360" w:lineRule="auto"/>
        <w:ind w:left="57"/>
        <w:jc w:val="both"/>
        <w:rPr>
          <w:rFonts w:ascii="Times New Roman" w:hAnsi="Times New Roman" w:cs="Times New Roman"/>
          <w:i/>
          <w:sz w:val="20"/>
          <w:szCs w:val="20"/>
        </w:rPr>
      </w:pPr>
      <w:r w:rsidRPr="00EC0CFD">
        <w:rPr>
          <w:rFonts w:ascii="Times New Roman" w:hAnsi="Times New Roman" w:cs="Times New Roman"/>
          <w:i/>
          <w:sz w:val="20"/>
          <w:szCs w:val="20"/>
        </w:rPr>
        <w:t>Prognostic value of</w:t>
      </w:r>
      <w:r w:rsidR="00452E24" w:rsidRPr="00EC0CFD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838D8" w:rsidRPr="00EC0CFD">
        <w:rPr>
          <w:rFonts w:ascii="Times New Roman" w:hAnsi="Times New Roman" w:cs="Times New Roman"/>
          <w:i/>
          <w:sz w:val="20"/>
          <w:szCs w:val="20"/>
        </w:rPr>
        <w:t xml:space="preserve">venous </w:t>
      </w:r>
      <w:r w:rsidRPr="00EC0CFD">
        <w:rPr>
          <w:rFonts w:ascii="Times New Roman" w:hAnsi="Times New Roman" w:cs="Times New Roman"/>
          <w:i/>
          <w:sz w:val="20"/>
          <w:szCs w:val="20"/>
        </w:rPr>
        <w:t>lactate ≥2.0 mmol/l</w:t>
      </w:r>
    </w:p>
    <w:p w14:paraId="13827ED5" w14:textId="4F0B2948" w:rsidR="00705B37" w:rsidRDefault="00A724FF" w:rsidP="00EC0CFD">
      <w:pPr>
        <w:spacing w:after="120" w:line="360" w:lineRule="auto"/>
        <w:ind w:left="57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sz w:val="20"/>
          <w:szCs w:val="20"/>
        </w:rPr>
        <w:t xml:space="preserve">Baseline characteristics and results of risk stratification in patients stratified to </w:t>
      </w:r>
      <w:r w:rsidR="00AF65B5" w:rsidRPr="00EC0CFD">
        <w:rPr>
          <w:rFonts w:ascii="Times New Roman" w:hAnsi="Times New Roman" w:cs="Times New Roman"/>
          <w:sz w:val="20"/>
          <w:szCs w:val="20"/>
        </w:rPr>
        <w:t xml:space="preserve">venous </w:t>
      </w:r>
      <w:r w:rsidRPr="00EC0CFD">
        <w:rPr>
          <w:rFonts w:ascii="Times New Roman" w:hAnsi="Times New Roman" w:cs="Times New Roman"/>
          <w:sz w:val="20"/>
          <w:szCs w:val="20"/>
        </w:rPr>
        <w:t xml:space="preserve">lactate levels below or </w:t>
      </w:r>
      <w:r w:rsidR="00E96AD0" w:rsidRPr="00EC0CFD">
        <w:rPr>
          <w:rFonts w:ascii="Times New Roman" w:hAnsi="Times New Roman" w:cs="Times New Roman"/>
          <w:sz w:val="20"/>
          <w:szCs w:val="20"/>
        </w:rPr>
        <w:t>≥</w:t>
      </w:r>
      <w:r w:rsidRPr="00EC0CFD">
        <w:rPr>
          <w:rFonts w:ascii="Times New Roman" w:hAnsi="Times New Roman" w:cs="Times New Roman"/>
          <w:sz w:val="20"/>
          <w:szCs w:val="20"/>
        </w:rPr>
        <w:t>2.0 mmol/l are provided in</w:t>
      </w:r>
      <w:r w:rsidRPr="00EC0CFD">
        <w:rPr>
          <w:rFonts w:ascii="Times New Roman" w:hAnsi="Times New Roman" w:cs="Times New Roman"/>
          <w:b/>
          <w:sz w:val="20"/>
          <w:szCs w:val="20"/>
        </w:rPr>
        <w:t xml:space="preserve"> Table </w:t>
      </w:r>
      <w:r w:rsidR="004631B3" w:rsidRPr="00EC0CFD">
        <w:rPr>
          <w:rFonts w:ascii="Times New Roman" w:hAnsi="Times New Roman" w:cs="Times New Roman"/>
          <w:b/>
          <w:sz w:val="20"/>
          <w:szCs w:val="20"/>
        </w:rPr>
        <w:t>s</w:t>
      </w:r>
      <w:r w:rsidRPr="00EC0CFD">
        <w:rPr>
          <w:rFonts w:ascii="Times New Roman" w:hAnsi="Times New Roman" w:cs="Times New Roman"/>
          <w:b/>
          <w:sz w:val="20"/>
          <w:szCs w:val="20"/>
        </w:rPr>
        <w:t>2</w:t>
      </w:r>
      <w:r w:rsidRPr="00EC0CFD">
        <w:rPr>
          <w:rFonts w:ascii="Times New Roman" w:hAnsi="Times New Roman" w:cs="Times New Roman"/>
          <w:sz w:val="20"/>
          <w:szCs w:val="20"/>
        </w:rPr>
        <w:t xml:space="preserve">. </w:t>
      </w:r>
      <w:r w:rsidR="00A5273B" w:rsidRPr="00EC0CFD">
        <w:rPr>
          <w:rFonts w:ascii="Times New Roman" w:hAnsi="Times New Roman" w:cs="Times New Roman"/>
          <w:sz w:val="20"/>
          <w:szCs w:val="20"/>
        </w:rPr>
        <w:t>Venous lactate ≥2.0 mmol/l was observed in 37.2% of patients and</w:t>
      </w:r>
      <w:r w:rsidRPr="00EC0CFD">
        <w:rPr>
          <w:rFonts w:ascii="Times New Roman" w:hAnsi="Times New Roman" w:cs="Times New Roman"/>
          <w:sz w:val="20"/>
          <w:szCs w:val="20"/>
        </w:rPr>
        <w:t xml:space="preserve"> predicted an adverse in-hospital outcome </w:t>
      </w:r>
      <w:r w:rsidR="00A5273B" w:rsidRPr="00EC0CFD">
        <w:rPr>
          <w:rFonts w:ascii="Times New Roman" w:hAnsi="Times New Roman" w:cs="Times New Roman"/>
          <w:sz w:val="20"/>
          <w:szCs w:val="20"/>
        </w:rPr>
        <w:t>with an OR of 3.6 (</w:t>
      </w:r>
      <w:r w:rsidR="0083397B" w:rsidRPr="00EC0CFD">
        <w:rPr>
          <w:rFonts w:ascii="Times New Roman" w:hAnsi="Times New Roman" w:cs="Times New Roman"/>
          <w:sz w:val="20"/>
          <w:szCs w:val="20"/>
        </w:rPr>
        <w:t xml:space="preserve">95% CI </w:t>
      </w:r>
      <w:r w:rsidR="00A5273B" w:rsidRPr="00EC0CFD">
        <w:rPr>
          <w:rFonts w:ascii="Times New Roman" w:hAnsi="Times New Roman" w:cs="Times New Roman"/>
          <w:sz w:val="20"/>
          <w:szCs w:val="20"/>
        </w:rPr>
        <w:t xml:space="preserve">1.5-8.7) </w:t>
      </w:r>
      <w:r w:rsidR="004631B3" w:rsidRPr="00EC0CFD">
        <w:rPr>
          <w:rFonts w:ascii="Times New Roman" w:hAnsi="Times New Roman" w:cs="Times New Roman"/>
          <w:sz w:val="20"/>
          <w:szCs w:val="20"/>
        </w:rPr>
        <w:t>but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AF65B5" w:rsidRPr="00EC0CFD">
        <w:rPr>
          <w:rFonts w:ascii="Times New Roman" w:hAnsi="Times New Roman" w:cs="Times New Roman"/>
          <w:sz w:val="20"/>
          <w:szCs w:val="20"/>
        </w:rPr>
        <w:t xml:space="preserve">failed to predict </w:t>
      </w:r>
      <w:r w:rsidRPr="00EC0CFD">
        <w:rPr>
          <w:rFonts w:ascii="Times New Roman" w:hAnsi="Times New Roman" w:cs="Times New Roman"/>
          <w:sz w:val="20"/>
          <w:szCs w:val="20"/>
        </w:rPr>
        <w:t xml:space="preserve">all-cause in-hospital mortality </w:t>
      </w:r>
      <w:r w:rsidR="00AF65B5" w:rsidRPr="00EC0CFD">
        <w:rPr>
          <w:rFonts w:ascii="Times New Roman" w:hAnsi="Times New Roman" w:cs="Times New Roman"/>
          <w:sz w:val="20"/>
          <w:szCs w:val="20"/>
        </w:rPr>
        <w:t>(</w:t>
      </w:r>
      <w:r w:rsidR="00A5273B" w:rsidRPr="00EC0CFD">
        <w:rPr>
          <w:rFonts w:ascii="Times New Roman" w:hAnsi="Times New Roman" w:cs="Times New Roman"/>
          <w:sz w:val="20"/>
          <w:szCs w:val="20"/>
        </w:rPr>
        <w:t>OR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9E344C" w:rsidRPr="00EC0CFD">
        <w:rPr>
          <w:rFonts w:ascii="Times New Roman" w:hAnsi="Times New Roman" w:cs="Times New Roman"/>
          <w:sz w:val="20"/>
          <w:szCs w:val="20"/>
        </w:rPr>
        <w:t>1</w:t>
      </w:r>
      <w:r w:rsidR="00E838D8" w:rsidRPr="00EC0CFD">
        <w:rPr>
          <w:rFonts w:ascii="Times New Roman" w:hAnsi="Times New Roman" w:cs="Times New Roman"/>
          <w:sz w:val="20"/>
          <w:szCs w:val="20"/>
        </w:rPr>
        <w:t>.</w:t>
      </w:r>
      <w:r w:rsidR="00183516" w:rsidRPr="00EC0CFD">
        <w:rPr>
          <w:rFonts w:ascii="Times New Roman" w:hAnsi="Times New Roman" w:cs="Times New Roman"/>
          <w:sz w:val="20"/>
          <w:szCs w:val="20"/>
        </w:rPr>
        <w:t>2</w:t>
      </w:r>
      <w:r w:rsidR="00AF65B5" w:rsidRPr="00EC0CFD">
        <w:rPr>
          <w:rFonts w:ascii="Times New Roman" w:hAnsi="Times New Roman" w:cs="Times New Roman"/>
          <w:sz w:val="20"/>
          <w:szCs w:val="20"/>
        </w:rPr>
        <w:t xml:space="preserve">; </w:t>
      </w:r>
      <w:r w:rsidR="0083397B" w:rsidRPr="00EC0CFD">
        <w:rPr>
          <w:rFonts w:ascii="Times New Roman" w:hAnsi="Times New Roman" w:cs="Times New Roman"/>
          <w:sz w:val="20"/>
          <w:szCs w:val="20"/>
        </w:rPr>
        <w:t xml:space="preserve">95% CI </w:t>
      </w:r>
      <w:r w:rsidR="009E344C" w:rsidRPr="00EC0CFD">
        <w:rPr>
          <w:rFonts w:ascii="Times New Roman" w:hAnsi="Times New Roman" w:cs="Times New Roman"/>
          <w:sz w:val="20"/>
          <w:szCs w:val="20"/>
        </w:rPr>
        <w:t>0</w:t>
      </w:r>
      <w:r w:rsidR="00E838D8" w:rsidRPr="00EC0CFD">
        <w:rPr>
          <w:rFonts w:ascii="Times New Roman" w:hAnsi="Times New Roman" w:cs="Times New Roman"/>
          <w:sz w:val="20"/>
          <w:szCs w:val="20"/>
        </w:rPr>
        <w:t>.</w:t>
      </w:r>
      <w:r w:rsidR="009E344C" w:rsidRPr="00EC0CFD">
        <w:rPr>
          <w:rFonts w:ascii="Times New Roman" w:hAnsi="Times New Roman" w:cs="Times New Roman"/>
          <w:sz w:val="20"/>
          <w:szCs w:val="20"/>
        </w:rPr>
        <w:t>4</w:t>
      </w:r>
      <w:r w:rsidR="00462C7A" w:rsidRPr="00EC0CFD">
        <w:rPr>
          <w:rFonts w:ascii="Times New Roman" w:hAnsi="Times New Roman" w:cs="Times New Roman"/>
          <w:sz w:val="20"/>
          <w:szCs w:val="20"/>
        </w:rPr>
        <w:t>-</w:t>
      </w:r>
      <w:r w:rsidR="00183516" w:rsidRPr="00EC0CFD">
        <w:rPr>
          <w:rFonts w:ascii="Times New Roman" w:hAnsi="Times New Roman" w:cs="Times New Roman"/>
          <w:sz w:val="20"/>
          <w:szCs w:val="20"/>
        </w:rPr>
        <w:t>3</w:t>
      </w:r>
      <w:r w:rsidR="00E838D8" w:rsidRPr="00EC0CFD">
        <w:rPr>
          <w:rFonts w:ascii="Times New Roman" w:hAnsi="Times New Roman" w:cs="Times New Roman"/>
          <w:sz w:val="20"/>
          <w:szCs w:val="20"/>
        </w:rPr>
        <w:t>.</w:t>
      </w:r>
      <w:r w:rsidR="00183516" w:rsidRPr="00EC0CFD">
        <w:rPr>
          <w:rFonts w:ascii="Times New Roman" w:hAnsi="Times New Roman" w:cs="Times New Roman"/>
          <w:sz w:val="20"/>
          <w:szCs w:val="20"/>
        </w:rPr>
        <w:t>2</w:t>
      </w:r>
      <w:r w:rsidR="00462C7A" w:rsidRPr="00EC0CFD">
        <w:rPr>
          <w:rFonts w:ascii="Times New Roman" w:hAnsi="Times New Roman" w:cs="Times New Roman"/>
          <w:sz w:val="20"/>
          <w:szCs w:val="20"/>
        </w:rPr>
        <w:t>)</w:t>
      </w:r>
      <w:r w:rsidRPr="00EC0CFD">
        <w:rPr>
          <w:rFonts w:ascii="Times New Roman" w:hAnsi="Times New Roman" w:cs="Times New Roman"/>
          <w:sz w:val="20"/>
          <w:szCs w:val="20"/>
        </w:rPr>
        <w:t xml:space="preserve">. </w:t>
      </w:r>
      <w:r w:rsidR="00144892" w:rsidRPr="00EC0CFD">
        <w:rPr>
          <w:rFonts w:ascii="Times New Roman" w:hAnsi="Times New Roman" w:cs="Times New Roman"/>
          <w:sz w:val="20"/>
          <w:szCs w:val="20"/>
        </w:rPr>
        <w:t xml:space="preserve">If information on lactate levels </w:t>
      </w:r>
      <w:r w:rsidR="00452E24" w:rsidRPr="00EC0CFD">
        <w:rPr>
          <w:rFonts w:ascii="Times New Roman" w:hAnsi="Times New Roman" w:cs="Times New Roman"/>
          <w:sz w:val="20"/>
          <w:szCs w:val="20"/>
        </w:rPr>
        <w:t xml:space="preserve">was </w:t>
      </w:r>
      <w:r w:rsidR="002B03F8" w:rsidRPr="00EC0CFD">
        <w:rPr>
          <w:rFonts w:ascii="Times New Roman" w:hAnsi="Times New Roman" w:cs="Times New Roman"/>
          <w:sz w:val="20"/>
          <w:szCs w:val="20"/>
        </w:rPr>
        <w:t xml:space="preserve">added to the </w:t>
      </w:r>
      <w:r w:rsidR="00C14E02" w:rsidRPr="00EC0CFD">
        <w:rPr>
          <w:rFonts w:ascii="Times New Roman" w:hAnsi="Times New Roman" w:cs="Times New Roman"/>
          <w:sz w:val="20"/>
          <w:szCs w:val="20"/>
        </w:rPr>
        <w:t xml:space="preserve">2019 </w:t>
      </w:r>
      <w:r w:rsidR="002B03F8" w:rsidRPr="00EC0CFD">
        <w:rPr>
          <w:rFonts w:ascii="Times New Roman" w:hAnsi="Times New Roman" w:cs="Times New Roman"/>
          <w:sz w:val="20"/>
          <w:szCs w:val="20"/>
        </w:rPr>
        <w:t xml:space="preserve">ESC </w:t>
      </w:r>
      <w:r w:rsidR="00144892" w:rsidRPr="00EC0CFD">
        <w:rPr>
          <w:rFonts w:ascii="Times New Roman" w:hAnsi="Times New Roman" w:cs="Times New Roman"/>
          <w:sz w:val="20"/>
          <w:szCs w:val="20"/>
        </w:rPr>
        <w:t>algorithm,</w:t>
      </w:r>
      <w:r w:rsidR="00452E24"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E838D8" w:rsidRPr="00EC0CFD">
        <w:rPr>
          <w:rFonts w:ascii="Times New Roman" w:hAnsi="Times New Roman" w:cs="Times New Roman"/>
          <w:sz w:val="20"/>
          <w:szCs w:val="20"/>
        </w:rPr>
        <w:t xml:space="preserve">venous </w:t>
      </w:r>
      <w:r w:rsidR="00144892" w:rsidRPr="00EC0CFD">
        <w:rPr>
          <w:rFonts w:ascii="Times New Roman" w:hAnsi="Times New Roman" w:cs="Times New Roman"/>
          <w:sz w:val="20"/>
          <w:szCs w:val="20"/>
        </w:rPr>
        <w:t>lactate levels ≥2.</w:t>
      </w:r>
      <w:r w:rsidR="00E838D8" w:rsidRPr="00EC0CFD">
        <w:rPr>
          <w:rFonts w:ascii="Times New Roman" w:hAnsi="Times New Roman" w:cs="Times New Roman"/>
          <w:sz w:val="20"/>
          <w:szCs w:val="20"/>
        </w:rPr>
        <w:t>0</w:t>
      </w:r>
      <w:r w:rsidR="00144892" w:rsidRPr="00EC0CFD">
        <w:rPr>
          <w:rFonts w:ascii="Times New Roman" w:hAnsi="Times New Roman" w:cs="Times New Roman"/>
          <w:sz w:val="20"/>
          <w:szCs w:val="20"/>
        </w:rPr>
        <w:t xml:space="preserve"> mmol/l identified patients with higher rates of adverse outcome</w:t>
      </w:r>
      <w:r w:rsidR="00A5273B" w:rsidRPr="00EC0CFD">
        <w:rPr>
          <w:rFonts w:ascii="Times New Roman" w:hAnsi="Times New Roman" w:cs="Times New Roman"/>
          <w:sz w:val="20"/>
          <w:szCs w:val="20"/>
        </w:rPr>
        <w:t>s</w:t>
      </w:r>
      <w:r w:rsidR="00144892" w:rsidRPr="00EC0CFD">
        <w:rPr>
          <w:rFonts w:ascii="Times New Roman" w:hAnsi="Times New Roman" w:cs="Times New Roman"/>
          <w:sz w:val="20"/>
          <w:szCs w:val="20"/>
        </w:rPr>
        <w:t xml:space="preserve"> in</w:t>
      </w:r>
      <w:r w:rsidR="00CD1DF4" w:rsidRPr="00EC0CFD">
        <w:rPr>
          <w:rFonts w:ascii="Times New Roman" w:hAnsi="Times New Roman" w:cs="Times New Roman"/>
          <w:sz w:val="20"/>
          <w:szCs w:val="20"/>
        </w:rPr>
        <w:t xml:space="preserve"> the</w:t>
      </w:r>
      <w:r w:rsidR="00144892" w:rsidRPr="00EC0CFD">
        <w:rPr>
          <w:rFonts w:ascii="Times New Roman" w:hAnsi="Times New Roman" w:cs="Times New Roman"/>
          <w:sz w:val="20"/>
          <w:szCs w:val="20"/>
        </w:rPr>
        <w:t xml:space="preserve"> intermediate-low</w:t>
      </w:r>
      <w:r w:rsidR="004631B3" w:rsidRPr="00EC0CFD">
        <w:rPr>
          <w:rFonts w:ascii="Times New Roman" w:hAnsi="Times New Roman" w:cs="Times New Roman"/>
          <w:sz w:val="20"/>
          <w:szCs w:val="20"/>
        </w:rPr>
        <w:t>-</w:t>
      </w:r>
      <w:r w:rsidR="00144892"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CD1DF4" w:rsidRPr="00EC0CFD">
        <w:rPr>
          <w:rFonts w:ascii="Times New Roman" w:hAnsi="Times New Roman" w:cs="Times New Roman"/>
          <w:sz w:val="20"/>
          <w:szCs w:val="20"/>
        </w:rPr>
        <w:t xml:space="preserve">but not </w:t>
      </w:r>
      <w:r w:rsidR="00AF65B5" w:rsidRPr="00EC0CFD">
        <w:rPr>
          <w:rFonts w:ascii="Times New Roman" w:hAnsi="Times New Roman" w:cs="Times New Roman"/>
          <w:sz w:val="20"/>
          <w:szCs w:val="20"/>
        </w:rPr>
        <w:t xml:space="preserve">in </w:t>
      </w:r>
      <w:r w:rsidR="00CD1DF4" w:rsidRPr="00EC0CFD">
        <w:rPr>
          <w:rFonts w:ascii="Times New Roman" w:hAnsi="Times New Roman" w:cs="Times New Roman"/>
          <w:sz w:val="20"/>
          <w:szCs w:val="20"/>
        </w:rPr>
        <w:t>the</w:t>
      </w:r>
      <w:r w:rsidR="004631B3" w:rsidRPr="00EC0CFD">
        <w:rPr>
          <w:rFonts w:ascii="Times New Roman" w:hAnsi="Times New Roman" w:cs="Times New Roman"/>
          <w:sz w:val="20"/>
          <w:szCs w:val="20"/>
        </w:rPr>
        <w:t xml:space="preserve"> intermediate-high-</w:t>
      </w:r>
      <w:r w:rsidR="00144892" w:rsidRPr="00EC0CFD">
        <w:rPr>
          <w:rFonts w:ascii="Times New Roman" w:hAnsi="Times New Roman" w:cs="Times New Roman"/>
          <w:sz w:val="20"/>
          <w:szCs w:val="20"/>
        </w:rPr>
        <w:t>risk group (</w:t>
      </w:r>
      <w:r w:rsidR="00144892" w:rsidRPr="00EC0CFD">
        <w:rPr>
          <w:rFonts w:ascii="Times New Roman" w:hAnsi="Times New Roman" w:cs="Times New Roman"/>
          <w:b/>
          <w:sz w:val="20"/>
          <w:szCs w:val="20"/>
        </w:rPr>
        <w:t xml:space="preserve">Figure </w:t>
      </w:r>
      <w:r w:rsidR="004631B3" w:rsidRPr="00EC0CFD">
        <w:rPr>
          <w:rFonts w:ascii="Times New Roman" w:hAnsi="Times New Roman" w:cs="Times New Roman"/>
          <w:b/>
          <w:sz w:val="20"/>
          <w:szCs w:val="20"/>
        </w:rPr>
        <w:t>s</w:t>
      </w:r>
      <w:r w:rsidR="001F786E" w:rsidRPr="00EC0CFD">
        <w:rPr>
          <w:rFonts w:ascii="Times New Roman" w:hAnsi="Times New Roman" w:cs="Times New Roman"/>
          <w:b/>
          <w:sz w:val="20"/>
          <w:szCs w:val="20"/>
        </w:rPr>
        <w:t>1</w:t>
      </w:r>
      <w:r w:rsidR="00144892" w:rsidRPr="00EC0CFD">
        <w:rPr>
          <w:rFonts w:ascii="Times New Roman" w:hAnsi="Times New Roman" w:cs="Times New Roman"/>
          <w:sz w:val="20"/>
          <w:szCs w:val="20"/>
        </w:rPr>
        <w:t>).</w:t>
      </w:r>
      <w:r w:rsidR="005B1693" w:rsidRPr="00EC0CFD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3B9B33" w14:textId="5BBDF0E2" w:rsidR="004C76C9" w:rsidRDefault="004C76C9" w:rsidP="00EC0CFD">
      <w:pPr>
        <w:spacing w:after="120" w:line="360" w:lineRule="auto"/>
        <w:ind w:left="57"/>
        <w:jc w:val="both"/>
        <w:rPr>
          <w:rFonts w:ascii="Times New Roman" w:hAnsi="Times New Roman" w:cs="Times New Roman"/>
          <w:sz w:val="20"/>
          <w:szCs w:val="20"/>
        </w:rPr>
      </w:pPr>
    </w:p>
    <w:p w14:paraId="3BFE21B9" w14:textId="77777777" w:rsidR="004C76C9" w:rsidRPr="00B04D6E" w:rsidRDefault="004C76C9" w:rsidP="00105E23">
      <w:pPr>
        <w:spacing w:after="120" w:line="360" w:lineRule="auto"/>
        <w:ind w:left="57"/>
        <w:jc w:val="both"/>
        <w:rPr>
          <w:rFonts w:ascii="Times New Roman" w:hAnsi="Times New Roman" w:cs="Times New Roman"/>
          <w:i/>
          <w:iCs/>
          <w:color w:val="FF0000"/>
          <w:sz w:val="20"/>
          <w:szCs w:val="20"/>
        </w:rPr>
      </w:pPr>
      <w:r w:rsidRPr="00B04D6E">
        <w:rPr>
          <w:rFonts w:ascii="Times New Roman" w:hAnsi="Times New Roman" w:cs="Times New Roman"/>
          <w:i/>
          <w:iCs/>
          <w:color w:val="FF0000"/>
          <w:sz w:val="20"/>
          <w:szCs w:val="20"/>
        </w:rPr>
        <w:t xml:space="preserve">One-year mortality </w:t>
      </w:r>
    </w:p>
    <w:p w14:paraId="1F609871" w14:textId="217A77A4" w:rsidR="004C76C9" w:rsidRPr="00B04D6E" w:rsidRDefault="004C76C9" w:rsidP="00105E23">
      <w:pPr>
        <w:spacing w:after="120" w:line="360" w:lineRule="auto"/>
        <w:ind w:left="57"/>
        <w:jc w:val="both"/>
        <w:rPr>
          <w:rFonts w:ascii="Times New Roman" w:hAnsi="Times New Roman" w:cs="Times New Roman"/>
          <w:color w:val="FF0000"/>
          <w:sz w:val="20"/>
          <w:szCs w:val="20"/>
        </w:rPr>
      </w:pPr>
      <w:bookmarkStart w:id="1" w:name="_Hlk16421797"/>
      <w:r w:rsidRPr="00B04D6E">
        <w:rPr>
          <w:rFonts w:ascii="Times New Roman" w:hAnsi="Times New Roman" w:cs="Times New Roman"/>
          <w:color w:val="FF0000"/>
          <w:sz w:val="20"/>
          <w:szCs w:val="20"/>
        </w:rPr>
        <w:t xml:space="preserve">Of 402 patients (95.9% of the overall cohort) discharged alive from hospital, 50 (12.4%) patients died during one-year follow-up (median time to death 84 [IQR 56-201] days). </w:t>
      </w:r>
      <w:bookmarkEnd w:id="1"/>
      <w:r w:rsidRPr="00B04D6E">
        <w:rPr>
          <w:rFonts w:ascii="Times New Roman" w:hAnsi="Times New Roman" w:cs="Times New Roman"/>
          <w:color w:val="FF0000"/>
          <w:sz w:val="20"/>
          <w:szCs w:val="20"/>
        </w:rPr>
        <w:t>Patients with venous lactate ≥2.3 mmol/l had a reduced probability of one-year survival compared to patients with lower lactate levels (p=0.010). However, there was no difference between patients with lactate concentrations between 2.3 and 3.2 mmol/l and those with lactate ≥3.3 mmol/l (p=0.368;</w:t>
      </w:r>
      <w:r w:rsidRPr="00B04D6E">
        <w:rPr>
          <w:rFonts w:ascii="Times New Roman" w:hAnsi="Times New Roman" w:cs="Times New Roman"/>
          <w:b/>
          <w:bCs/>
          <w:color w:val="FF0000"/>
          <w:sz w:val="20"/>
          <w:szCs w:val="20"/>
        </w:rPr>
        <w:t xml:space="preserve"> Figure </w:t>
      </w:r>
      <w:r w:rsidR="00105E23" w:rsidRPr="00B04D6E">
        <w:rPr>
          <w:rFonts w:ascii="Times New Roman" w:hAnsi="Times New Roman" w:cs="Times New Roman"/>
          <w:b/>
          <w:bCs/>
          <w:color w:val="FF0000"/>
          <w:sz w:val="20"/>
          <w:szCs w:val="20"/>
        </w:rPr>
        <w:t>s2</w:t>
      </w:r>
      <w:r w:rsidRPr="00B04D6E">
        <w:rPr>
          <w:rFonts w:ascii="Times New Roman" w:hAnsi="Times New Roman" w:cs="Times New Roman"/>
          <w:color w:val="FF0000"/>
          <w:sz w:val="20"/>
          <w:szCs w:val="20"/>
        </w:rPr>
        <w:t xml:space="preserve">). </w:t>
      </w:r>
    </w:p>
    <w:p w14:paraId="57C4DF8C" w14:textId="77777777" w:rsidR="004C76C9" w:rsidRDefault="004C76C9" w:rsidP="004C76C9">
      <w:pPr>
        <w:widowControl w:val="0"/>
        <w:tabs>
          <w:tab w:val="left" w:pos="720"/>
        </w:tabs>
        <w:spacing w:after="120" w:line="480" w:lineRule="auto"/>
        <w:jc w:val="both"/>
        <w:rPr>
          <w:sz w:val="20"/>
          <w:szCs w:val="20"/>
          <w:lang w:val="en-GB"/>
        </w:rPr>
      </w:pPr>
    </w:p>
    <w:p w14:paraId="20CEE399" w14:textId="77777777" w:rsidR="004C76C9" w:rsidRPr="004C76C9" w:rsidRDefault="004C76C9" w:rsidP="00EC0CFD">
      <w:pPr>
        <w:spacing w:after="120" w:line="360" w:lineRule="auto"/>
        <w:ind w:left="57"/>
        <w:jc w:val="both"/>
        <w:rPr>
          <w:rFonts w:ascii="Times New Roman" w:hAnsi="Times New Roman" w:cs="Times New Roman"/>
          <w:sz w:val="20"/>
          <w:szCs w:val="20"/>
          <w:lang w:val="en-GB"/>
        </w:rPr>
      </w:pPr>
    </w:p>
    <w:p w14:paraId="0046EE08" w14:textId="68E71C95" w:rsidR="00A37523" w:rsidRPr="00EC0CFD" w:rsidRDefault="00A724FF">
      <w:pPr>
        <w:rPr>
          <w:rFonts w:ascii="Times New Roman" w:hAnsi="Times New Roman" w:cs="Times New Roman"/>
          <w:b/>
          <w:sz w:val="24"/>
          <w:szCs w:val="24"/>
        </w:rPr>
      </w:pPr>
      <w:r w:rsidRPr="00EC0CFD">
        <w:rPr>
          <w:rFonts w:ascii="Times New Roman" w:hAnsi="Times New Roman" w:cs="Times New Roman"/>
          <w:sz w:val="24"/>
          <w:szCs w:val="24"/>
        </w:rPr>
        <w:br w:type="column"/>
      </w:r>
      <w:r w:rsidR="004631B3" w:rsidRPr="00EC0CF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Supplementary </w:t>
      </w:r>
      <w:r w:rsidRPr="00EC0CFD">
        <w:rPr>
          <w:rFonts w:ascii="Times New Roman" w:hAnsi="Times New Roman" w:cs="Times New Roman"/>
          <w:b/>
          <w:sz w:val="24"/>
          <w:szCs w:val="24"/>
        </w:rPr>
        <w:t>Tables</w:t>
      </w:r>
    </w:p>
    <w:p w14:paraId="27314BE5" w14:textId="293948B0" w:rsidR="00A724FF" w:rsidRPr="00EC0CFD" w:rsidRDefault="00A724FF">
      <w:pPr>
        <w:rPr>
          <w:rFonts w:ascii="Times New Roman" w:hAnsi="Times New Roman" w:cs="Times New Roman"/>
          <w:b/>
          <w:sz w:val="24"/>
          <w:szCs w:val="24"/>
        </w:rPr>
      </w:pPr>
    </w:p>
    <w:p w14:paraId="1D0AE9CB" w14:textId="122A3E90" w:rsidR="00A724FF" w:rsidRPr="00EC0CFD" w:rsidRDefault="00A724FF" w:rsidP="00AF65B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3961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0"/>
        <w:gridCol w:w="1829"/>
        <w:gridCol w:w="1830"/>
        <w:gridCol w:w="998"/>
      </w:tblGrid>
      <w:tr w:rsidR="00095B85" w:rsidRPr="00EC0CFD" w14:paraId="4273BEB7" w14:textId="77777777" w:rsidTr="004631B3">
        <w:trPr>
          <w:trHeight w:val="20"/>
        </w:trPr>
        <w:tc>
          <w:tcPr>
            <w:tcW w:w="1756" w:type="pct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270378" w14:textId="77777777" w:rsidR="00095B85" w:rsidRPr="00EC0CFD" w:rsidRDefault="00095B85" w:rsidP="00CB0FCB">
            <w:pPr>
              <w:spacing w:after="120" w:line="360" w:lineRule="auto"/>
              <w:ind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274" w:type="pct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E614A9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Patients with lactate measurements (n=419)</w:t>
            </w:r>
          </w:p>
        </w:tc>
        <w:tc>
          <w:tcPr>
            <w:tcW w:w="1275" w:type="pct"/>
            <w:shd w:val="clear" w:color="auto" w:fill="D9D9D9" w:themeFill="background1" w:themeFillShade="D9"/>
          </w:tcPr>
          <w:p w14:paraId="65785C46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Patients without lactate measurements (n=279)</w:t>
            </w:r>
          </w:p>
        </w:tc>
        <w:tc>
          <w:tcPr>
            <w:tcW w:w="695" w:type="pct"/>
            <w:shd w:val="clear" w:color="auto" w:fill="D9D9D9" w:themeFill="background1" w:themeFillShade="D9"/>
          </w:tcPr>
          <w:p w14:paraId="5578D13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p-value</w:t>
            </w:r>
          </w:p>
          <w:p w14:paraId="16FEA7B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095B85" w:rsidRPr="00EC0CFD" w14:paraId="0888117F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D6839A9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Age ≥75 years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05C2048F" w14:textId="77777777" w:rsidR="00095B85" w:rsidRPr="00EC0CFD" w:rsidRDefault="00095B85" w:rsidP="00CB0FCB">
            <w:pPr>
              <w:spacing w:line="360" w:lineRule="auto"/>
              <w:ind w:left="-49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160 (38.2%)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7F35A69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81 (29.0%)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48448AA7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0.013</w:t>
            </w:r>
          </w:p>
        </w:tc>
      </w:tr>
      <w:tr w:rsidR="00095B85" w:rsidRPr="00EC0CFD" w14:paraId="14577E22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713ED08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Sex (female)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8F80B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220 (52.5%)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3F48EAA2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143 (51.3%)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6B5E1BA5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0.75</w:t>
            </w:r>
          </w:p>
        </w:tc>
      </w:tr>
      <w:tr w:rsidR="00095B85" w:rsidRPr="00EC0CFD" w14:paraId="27FBBE00" w14:textId="77777777" w:rsidTr="004631B3">
        <w:trPr>
          <w:trHeight w:val="20"/>
        </w:trPr>
        <w:tc>
          <w:tcPr>
            <w:tcW w:w="5000" w:type="pct"/>
            <w:gridSpan w:val="4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8E951F" w14:textId="6470FDD0" w:rsidR="00095B85" w:rsidRPr="00EC0CFD" w:rsidRDefault="00095B85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Comorbidities</w:t>
            </w:r>
          </w:p>
        </w:tc>
      </w:tr>
      <w:tr w:rsidR="00095B85" w:rsidRPr="00EC0CFD" w14:paraId="57B96EA1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B4C3AA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Chronic heart failure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1780F1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60 (14.3%)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5DBA864D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38 (13.6%)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57BF0F43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0.79</w:t>
            </w:r>
          </w:p>
        </w:tc>
      </w:tr>
      <w:tr w:rsidR="00095B85" w:rsidRPr="00EC0CFD" w14:paraId="499F7C7D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D608E6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Coronary artery disease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1FEF1D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64 (15.3%)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38250F7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56 (20.1%)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00D01418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0.10</w:t>
            </w:r>
          </w:p>
        </w:tc>
      </w:tr>
      <w:tr w:rsidR="00095B85" w:rsidRPr="00EC0CFD" w14:paraId="475A0BF6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77A1DB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Chronic pulmonary disease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798376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57 (13.6%)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56B52CB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45 (16.1%)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7F825DEB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0.35</w:t>
            </w:r>
          </w:p>
        </w:tc>
      </w:tr>
      <w:tr w:rsidR="00095B85" w:rsidRPr="00EC0CFD" w14:paraId="112BE0FD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489C57D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Diabetes mellitus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C211F2F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68 (16.2%)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2DB61C0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43 (15.4%)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3E5D023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0.77</w:t>
            </w:r>
          </w:p>
        </w:tc>
      </w:tr>
      <w:tr w:rsidR="00095B85" w:rsidRPr="00EC0CFD" w14:paraId="75A7D0EB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6302EE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 xml:space="preserve">Renal insufficiency 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D7328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142 (34.1%), n=417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65B9B58A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67 (24.7%), n=271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20764E55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0.009</w:t>
            </w:r>
          </w:p>
        </w:tc>
      </w:tr>
      <w:tr w:rsidR="00095B85" w:rsidRPr="00EC0CFD" w14:paraId="5CB50447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206B07F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Active cancer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773FD7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64 (15.3%), n=418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44D8E4E9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63 (22.6%)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4FD29543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0.015</w:t>
            </w:r>
          </w:p>
        </w:tc>
      </w:tr>
      <w:tr w:rsidR="00095B85" w:rsidRPr="00EC0CFD" w14:paraId="5CCD9D4D" w14:textId="77777777" w:rsidTr="004631B3">
        <w:trPr>
          <w:trHeight w:val="20"/>
        </w:trPr>
        <w:tc>
          <w:tcPr>
            <w:tcW w:w="5000" w:type="pct"/>
            <w:gridSpan w:val="4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77208F0" w14:textId="4F4E6D00" w:rsidR="00095B85" w:rsidRPr="00EC0CFD" w:rsidRDefault="00095B85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Symptoms at presentation</w:t>
            </w:r>
          </w:p>
        </w:tc>
      </w:tr>
      <w:tr w:rsidR="00095B85" w:rsidRPr="00EC0CFD" w14:paraId="32E7F0A7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57188310" w14:textId="73DB1A0F" w:rsidR="00095B85" w:rsidRPr="00EC0CFD" w:rsidRDefault="00173853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trike/>
                <w:sz w:val="16"/>
                <w:szCs w:val="16"/>
              </w:rPr>
            </w:pPr>
            <w:proofErr w:type="spellStart"/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Dyspn</w:t>
            </w:r>
            <w:r w:rsidR="004631B3" w:rsidRPr="00EC0CFD">
              <w:rPr>
                <w:rFonts w:ascii="Times New Roman" w:hAnsi="Times New Roman" w:cs="Times New Roman"/>
                <w:sz w:val="16"/>
                <w:szCs w:val="16"/>
              </w:rPr>
              <w:t>o</w:t>
            </w: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ea</w:t>
            </w:r>
            <w:proofErr w:type="spellEnd"/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3865B6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346 (83.2%), n=416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61A2E7E2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233 (83.5%)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41A6B12D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0.91</w:t>
            </w:r>
          </w:p>
        </w:tc>
      </w:tr>
      <w:tr w:rsidR="00095B85" w:rsidRPr="00EC0CFD" w14:paraId="70064190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7080054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Syncope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EEE249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60 (14.4%), n=417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30FD7258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29 (10.4%)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06185F22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0.12</w:t>
            </w:r>
          </w:p>
        </w:tc>
      </w:tr>
      <w:tr w:rsidR="00095B85" w:rsidRPr="00EC0CFD" w14:paraId="6B1315B0" w14:textId="77777777" w:rsidTr="004631B3">
        <w:trPr>
          <w:trHeight w:val="20"/>
        </w:trPr>
        <w:tc>
          <w:tcPr>
            <w:tcW w:w="5000" w:type="pct"/>
            <w:gridSpan w:val="4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57C450" w14:textId="3D1E794B" w:rsidR="00095B85" w:rsidRPr="00EC0CFD" w:rsidRDefault="00095B85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Clinical findings at presentation</w:t>
            </w:r>
          </w:p>
        </w:tc>
      </w:tr>
      <w:tr w:rsidR="00095B85" w:rsidRPr="00EC0CFD" w14:paraId="207E6DA8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33FEF7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Tachycardia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68C70C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167 (40.1%), n=416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43A91F3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65 (24.2%), n=269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4A1EF3D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  <w:tr w:rsidR="00095B85" w:rsidRPr="00EC0CFD" w14:paraId="4867525D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D418FFD" w14:textId="3783B7A6" w:rsidR="00095B85" w:rsidRPr="00EC0CFD" w:rsidRDefault="00173853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Hypox</w:t>
            </w:r>
            <w:r w:rsidR="004631B3" w:rsidRPr="00EC0CFD">
              <w:rPr>
                <w:rFonts w:ascii="Times New Roman" w:hAnsi="Times New Roman" w:cs="Times New Roman"/>
                <w:sz w:val="16"/>
                <w:szCs w:val="16"/>
              </w:rPr>
              <w:t>a</w:t>
            </w: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emia</w:t>
            </w:r>
            <w:proofErr w:type="spellEnd"/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740525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92 (23.2%), n=396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7AF627F7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45 (23.0%), n=196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50683287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0.94</w:t>
            </w:r>
          </w:p>
        </w:tc>
      </w:tr>
      <w:tr w:rsidR="00095B85" w:rsidRPr="00EC0CFD" w14:paraId="3C7351E4" w14:textId="77777777" w:rsidTr="004631B3">
        <w:trPr>
          <w:trHeight w:val="20"/>
        </w:trPr>
        <w:tc>
          <w:tcPr>
            <w:tcW w:w="5000" w:type="pct"/>
            <w:gridSpan w:val="4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CF9426" w14:textId="505CF539" w:rsidR="00095B85" w:rsidRPr="00EC0CFD" w:rsidRDefault="00095B85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Laboratory and imaging markers</w:t>
            </w:r>
          </w:p>
        </w:tc>
      </w:tr>
      <w:tr w:rsidR="00095B85" w:rsidRPr="00EC0CFD" w14:paraId="698037C6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F197ABC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hsTnT ≥14 pg/ml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717E7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266 (66.7%), n=399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657CF49F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153 (60.7%), n=252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05C173B2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0.12</w:t>
            </w:r>
          </w:p>
        </w:tc>
      </w:tr>
      <w:tr w:rsidR="00095B85" w:rsidRPr="00EC0CFD" w14:paraId="5E230D40" w14:textId="77777777" w:rsidTr="00881FA2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6E88509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RV/LV diameter ratio ≥1.0 on CTPA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1BAC6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245 (76.6%), n=320</w:t>
            </w:r>
          </w:p>
        </w:tc>
        <w:tc>
          <w:tcPr>
            <w:tcW w:w="1275" w:type="pct"/>
            <w:shd w:val="clear" w:color="auto" w:fill="auto"/>
            <w:vAlign w:val="bottom"/>
          </w:tcPr>
          <w:p w14:paraId="67B162E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136 (64.2%), n=212</w:t>
            </w:r>
          </w:p>
        </w:tc>
        <w:tc>
          <w:tcPr>
            <w:tcW w:w="695" w:type="pct"/>
            <w:shd w:val="clear" w:color="auto" w:fill="auto"/>
            <w:vAlign w:val="bottom"/>
          </w:tcPr>
          <w:p w14:paraId="1B2B1075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0.002</w:t>
            </w:r>
          </w:p>
        </w:tc>
      </w:tr>
      <w:tr w:rsidR="00095B85" w:rsidRPr="00EC0CFD" w14:paraId="49234C17" w14:textId="77777777" w:rsidTr="004631B3">
        <w:trPr>
          <w:trHeight w:val="20"/>
        </w:trPr>
        <w:tc>
          <w:tcPr>
            <w:tcW w:w="5000" w:type="pct"/>
            <w:gridSpan w:val="4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C04BA9" w14:textId="10B17129" w:rsidR="00095B85" w:rsidRPr="00EC0CFD" w:rsidRDefault="00095B85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Outcome</w:t>
            </w:r>
          </w:p>
        </w:tc>
      </w:tr>
      <w:tr w:rsidR="00095B85" w:rsidRPr="00EC0CFD" w14:paraId="1D3BAF42" w14:textId="77777777" w:rsidTr="00095B85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6A2AE2F3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In-hospital adverse outcome</w:t>
            </w:r>
          </w:p>
          <w:p w14:paraId="0A5177E5" w14:textId="77777777" w:rsidR="00095B85" w:rsidRPr="00EC0CFD" w:rsidRDefault="00095B85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Catecholamine administration</w:t>
            </w:r>
          </w:p>
          <w:p w14:paraId="72714A14" w14:textId="77777777" w:rsidR="00095B85" w:rsidRPr="00EC0CFD" w:rsidRDefault="00095B85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Cardiopulmonary resuscitation</w:t>
            </w:r>
          </w:p>
          <w:p w14:paraId="7F33E2D0" w14:textId="77777777" w:rsidR="00095B85" w:rsidRPr="00EC0CFD" w:rsidRDefault="00095B85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PE-related death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2A5AD10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24 (5.7%)</w:t>
            </w:r>
          </w:p>
          <w:p w14:paraId="78ED09F6" w14:textId="77777777" w:rsidR="00095B85" w:rsidRPr="00EC0CFD" w:rsidRDefault="00095B85" w:rsidP="00CB0FCB">
            <w:pPr>
              <w:spacing w:line="360" w:lineRule="auto"/>
              <w:ind w:left="21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18 (4.3%)</w:t>
            </w:r>
          </w:p>
          <w:p w14:paraId="38A429B0" w14:textId="77777777" w:rsidR="00095B85" w:rsidRPr="00EC0CFD" w:rsidRDefault="00095B85" w:rsidP="00CB0FCB">
            <w:pPr>
              <w:spacing w:line="360" w:lineRule="auto"/>
              <w:ind w:left="21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 (1.7%)</w:t>
            </w:r>
          </w:p>
          <w:p w14:paraId="0CE02094" w14:textId="77777777" w:rsidR="00095B85" w:rsidRPr="00EC0CFD" w:rsidRDefault="00095B85" w:rsidP="00CB0FCB">
            <w:pPr>
              <w:spacing w:line="360" w:lineRule="auto"/>
              <w:ind w:left="21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10 (2.4%)</w:t>
            </w:r>
          </w:p>
        </w:tc>
        <w:tc>
          <w:tcPr>
            <w:tcW w:w="1275" w:type="pct"/>
          </w:tcPr>
          <w:p w14:paraId="0D4E86DD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 (5.0%)</w:t>
            </w:r>
          </w:p>
          <w:p w14:paraId="18988F80" w14:textId="77777777" w:rsidR="00095B85" w:rsidRPr="00EC0CFD" w:rsidRDefault="00095B85" w:rsidP="00CB0FCB">
            <w:pPr>
              <w:spacing w:line="360" w:lineRule="auto"/>
              <w:ind w:left="23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9 (3.2%)</w:t>
            </w:r>
          </w:p>
          <w:p w14:paraId="2FC5D25B" w14:textId="77777777" w:rsidR="00095B85" w:rsidRPr="00EC0CFD" w:rsidRDefault="00095B85" w:rsidP="00CB0FCB">
            <w:pPr>
              <w:spacing w:line="360" w:lineRule="auto"/>
              <w:ind w:left="23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 (2.2%)</w:t>
            </w:r>
          </w:p>
          <w:p w14:paraId="5323B105" w14:textId="77777777" w:rsidR="00095B85" w:rsidRPr="00EC0CFD" w:rsidRDefault="00095B85" w:rsidP="00CB0FCB">
            <w:pPr>
              <w:spacing w:line="360" w:lineRule="auto"/>
              <w:ind w:left="23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 (2.2%)</w:t>
            </w:r>
          </w:p>
        </w:tc>
        <w:tc>
          <w:tcPr>
            <w:tcW w:w="695" w:type="pct"/>
          </w:tcPr>
          <w:p w14:paraId="1B4ADCFE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0.69</w:t>
            </w:r>
          </w:p>
          <w:p w14:paraId="220CBD63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0.47</w:t>
            </w:r>
          </w:p>
          <w:p w14:paraId="5DCA52E2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0.65</w:t>
            </w:r>
          </w:p>
          <w:p w14:paraId="35DA92BA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0.84</w:t>
            </w:r>
          </w:p>
        </w:tc>
      </w:tr>
      <w:tr w:rsidR="00095B85" w:rsidRPr="00EC0CFD" w14:paraId="722D83F3" w14:textId="77777777" w:rsidTr="00095B85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15BF279C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In-hospital all-cause mortality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1D5CCE1C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17 (4.1%)</w:t>
            </w:r>
          </w:p>
        </w:tc>
        <w:tc>
          <w:tcPr>
            <w:tcW w:w="1275" w:type="pct"/>
            <w:vAlign w:val="bottom"/>
          </w:tcPr>
          <w:p w14:paraId="0C5BC82A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12 (4.3%)</w:t>
            </w:r>
          </w:p>
        </w:tc>
        <w:tc>
          <w:tcPr>
            <w:tcW w:w="695" w:type="pct"/>
            <w:vAlign w:val="bottom"/>
          </w:tcPr>
          <w:p w14:paraId="381AAB61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0.87</w:t>
            </w:r>
          </w:p>
        </w:tc>
      </w:tr>
      <w:tr w:rsidR="00095B85" w:rsidRPr="00EC0CFD" w14:paraId="5C00976D" w14:textId="77777777" w:rsidTr="00095B85">
        <w:trPr>
          <w:trHeight w:val="20"/>
        </w:trPr>
        <w:tc>
          <w:tcPr>
            <w:tcW w:w="175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572BE7B4" w14:textId="77777777" w:rsidR="00095B85" w:rsidRPr="00EC0CFD" w:rsidRDefault="00095B85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Reperfusion treatment</w:t>
            </w:r>
          </w:p>
        </w:tc>
        <w:tc>
          <w:tcPr>
            <w:tcW w:w="1274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17A31AEF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19 (4.5%)</w:t>
            </w:r>
          </w:p>
        </w:tc>
        <w:tc>
          <w:tcPr>
            <w:tcW w:w="1275" w:type="pct"/>
            <w:vAlign w:val="bottom"/>
          </w:tcPr>
          <w:p w14:paraId="674CFF24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11 (3.9%)</w:t>
            </w:r>
          </w:p>
        </w:tc>
        <w:tc>
          <w:tcPr>
            <w:tcW w:w="695" w:type="pct"/>
            <w:vAlign w:val="bottom"/>
          </w:tcPr>
          <w:p w14:paraId="0FE4EA63" w14:textId="77777777" w:rsidR="00095B85" w:rsidRPr="00EC0CFD" w:rsidRDefault="00095B85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0.71</w:t>
            </w:r>
          </w:p>
        </w:tc>
      </w:tr>
    </w:tbl>
    <w:p w14:paraId="1AACF25D" w14:textId="77777777" w:rsidR="00881FA2" w:rsidRPr="00EC0CFD" w:rsidRDefault="00881FA2" w:rsidP="00881FA2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77692771" w14:textId="181B23EC" w:rsidR="001F78C3" w:rsidRPr="00EC0CFD" w:rsidRDefault="001F78C3" w:rsidP="001F78C3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b/>
          <w:sz w:val="20"/>
          <w:szCs w:val="20"/>
        </w:rPr>
        <w:t>Table s1</w:t>
      </w:r>
      <w:r>
        <w:rPr>
          <w:rFonts w:ascii="Times New Roman" w:hAnsi="Times New Roman" w:cs="Times New Roman"/>
          <w:b/>
          <w:sz w:val="20"/>
          <w:szCs w:val="20"/>
        </w:rPr>
        <w:t>.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Pr="001F78C3">
        <w:rPr>
          <w:rFonts w:ascii="Times New Roman" w:hAnsi="Times New Roman" w:cs="Times New Roman"/>
          <w:b/>
          <w:bCs/>
          <w:sz w:val="20"/>
          <w:szCs w:val="20"/>
        </w:rPr>
        <w:t>Comorbidities, results of risk stratification and outcomes of study patients compared to patients excluded due to missing venous lactate measurements</w:t>
      </w:r>
    </w:p>
    <w:p w14:paraId="58233C4F" w14:textId="77DA876A" w:rsidR="00A06F97" w:rsidRPr="00EC0CFD" w:rsidRDefault="00881FA2" w:rsidP="001F78C3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sz w:val="20"/>
          <w:szCs w:val="20"/>
        </w:rPr>
        <w:t>Statistically significant results are marked in bold letters.</w:t>
      </w:r>
    </w:p>
    <w:p w14:paraId="178FDB19" w14:textId="16506E01" w:rsidR="00E96AD0" w:rsidRPr="00EC0CFD" w:rsidRDefault="00A06F97" w:rsidP="001F78C3">
      <w:pPr>
        <w:spacing w:line="360" w:lineRule="auto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sz w:val="20"/>
          <w:szCs w:val="20"/>
          <w:u w:val="single"/>
        </w:rPr>
        <w:t>Abbreviations: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1D6A50" w:rsidRPr="00EC0CFD">
        <w:rPr>
          <w:rFonts w:ascii="Times New Roman" w:hAnsi="Times New Roman" w:cs="Times New Roman"/>
          <w:sz w:val="20"/>
          <w:szCs w:val="20"/>
        </w:rPr>
        <w:t>H</w:t>
      </w:r>
      <w:r w:rsidRPr="00EC0CFD">
        <w:rPr>
          <w:rFonts w:ascii="Times New Roman" w:hAnsi="Times New Roman" w:cs="Times New Roman"/>
          <w:sz w:val="20"/>
          <w:szCs w:val="20"/>
        </w:rPr>
        <w:t>sTnT</w:t>
      </w:r>
      <w:r w:rsidR="001D6A50" w:rsidRPr="00EC0CFD">
        <w:rPr>
          <w:rFonts w:ascii="Times New Roman" w:hAnsi="Times New Roman" w:cs="Times New Roman"/>
          <w:sz w:val="20"/>
          <w:szCs w:val="20"/>
        </w:rPr>
        <w:t xml:space="preserve"> denotes</w:t>
      </w:r>
      <w:r w:rsidRPr="00EC0CFD">
        <w:rPr>
          <w:rFonts w:ascii="Times New Roman" w:hAnsi="Times New Roman" w:cs="Times New Roman"/>
          <w:sz w:val="20"/>
          <w:szCs w:val="20"/>
        </w:rPr>
        <w:t xml:space="preserve"> high sensitivity troponin RV/LV, right/left ventricle; CTPA, computed tomography pulmonary angiography; PE, pulmonary embolism.</w:t>
      </w:r>
    </w:p>
    <w:p w14:paraId="41867694" w14:textId="327882CE" w:rsidR="00CD1DF4" w:rsidRPr="00EC0CFD" w:rsidRDefault="00E96AD0" w:rsidP="00CD1DF4">
      <w:pPr>
        <w:tabs>
          <w:tab w:val="left" w:pos="0"/>
        </w:tabs>
        <w:spacing w:after="120"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</w:rPr>
        <w:br w:type="column"/>
      </w:r>
    </w:p>
    <w:tbl>
      <w:tblPr>
        <w:tblW w:w="5172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6"/>
        <w:gridCol w:w="1779"/>
        <w:gridCol w:w="2157"/>
        <w:gridCol w:w="2052"/>
        <w:gridCol w:w="868"/>
      </w:tblGrid>
      <w:tr w:rsidR="00183516" w:rsidRPr="00EC0CFD" w14:paraId="733D1AF4" w14:textId="77777777" w:rsidTr="004631B3">
        <w:trPr>
          <w:trHeight w:val="20"/>
        </w:trPr>
        <w:tc>
          <w:tcPr>
            <w:tcW w:w="1342" w:type="pct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1B2CCDA" w14:textId="77777777" w:rsidR="00183516" w:rsidRPr="00EC0CFD" w:rsidRDefault="00183516" w:rsidP="00CB0FCB">
            <w:pPr>
              <w:spacing w:after="120" w:line="360" w:lineRule="auto"/>
              <w:ind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949" w:type="pct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699845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All patients</w:t>
            </w:r>
          </w:p>
          <w:p w14:paraId="75035712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(n=419)</w:t>
            </w:r>
          </w:p>
        </w:tc>
        <w:tc>
          <w:tcPr>
            <w:tcW w:w="1151" w:type="pct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C303CBC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Venous lactate ≥2.0 mmol/l</w:t>
            </w:r>
          </w:p>
          <w:p w14:paraId="0196C10E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(n=156)</w:t>
            </w:r>
          </w:p>
        </w:tc>
        <w:tc>
          <w:tcPr>
            <w:tcW w:w="1095" w:type="pct"/>
            <w:shd w:val="clear" w:color="auto" w:fill="D9D9D9" w:themeFill="background1" w:themeFillShade="D9"/>
          </w:tcPr>
          <w:p w14:paraId="0F78F7E0" w14:textId="77777777" w:rsidR="00183516" w:rsidRPr="00EC0CFD" w:rsidRDefault="00183516" w:rsidP="00CB0FCB">
            <w:pPr>
              <w:spacing w:line="360" w:lineRule="auto"/>
              <w:ind w:left="57" w:right="-28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Venous lactate &lt;2.0 mmol/l</w:t>
            </w:r>
          </w:p>
          <w:p w14:paraId="2ECA1249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(n=263)</w:t>
            </w:r>
          </w:p>
        </w:tc>
        <w:tc>
          <w:tcPr>
            <w:tcW w:w="463" w:type="pct"/>
            <w:shd w:val="clear" w:color="auto" w:fill="D9D9D9" w:themeFill="background1" w:themeFillShade="D9"/>
          </w:tcPr>
          <w:p w14:paraId="192C4B8F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p-value</w:t>
            </w:r>
          </w:p>
          <w:p w14:paraId="535B5E4A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183516" w:rsidRPr="00EC0CFD" w14:paraId="4F41B775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A3FF18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Age ≥75 years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221E80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160 (38.2%)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79CEB3B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72 (46.2%)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09D1AAF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88 (33.5%)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B9932E1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0.010</w:t>
            </w:r>
          </w:p>
        </w:tc>
      </w:tr>
      <w:tr w:rsidR="00183516" w:rsidRPr="00EC0CFD" w14:paraId="44155147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727D58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Sex (female)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385817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220 (52.5%)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984A57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90 (57.7%)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7768B93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130 (49.4%)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796ED2B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0.10</w:t>
            </w:r>
          </w:p>
        </w:tc>
      </w:tr>
      <w:tr w:rsidR="00183516" w:rsidRPr="00EC0CFD" w14:paraId="116BA784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BF5A7" w14:textId="3A7097B0" w:rsidR="00183516" w:rsidRPr="00EC0CFD" w:rsidRDefault="00183516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Comorbidities</w:t>
            </w:r>
          </w:p>
        </w:tc>
      </w:tr>
      <w:tr w:rsidR="00183516" w:rsidRPr="00EC0CFD" w14:paraId="617CE194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062DFF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Chronic heart failure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1F7A1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60 (14.3%)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9AF26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26 (16.7%)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77517E61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34 (12.9%)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C6A34EB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0.29</w:t>
            </w:r>
          </w:p>
        </w:tc>
      </w:tr>
      <w:tr w:rsidR="00183516" w:rsidRPr="00EC0CFD" w14:paraId="2E14320D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EE6CC2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Coronary artery disease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3392EB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64 (15.3%)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98208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22 (14.1%)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0724CF1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42 (16.0%)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A2A268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0.61</w:t>
            </w:r>
          </w:p>
        </w:tc>
      </w:tr>
      <w:tr w:rsidR="00183516" w:rsidRPr="00EC0CFD" w14:paraId="745363CB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7D0FAFB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Chronic pulmonary disease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395C5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57 (13.6%)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98DB7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17 (10.9%)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09290861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40 (15.2%)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6332D0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0.21</w:t>
            </w:r>
          </w:p>
        </w:tc>
      </w:tr>
      <w:tr w:rsidR="00183516" w:rsidRPr="00EC0CFD" w14:paraId="5AC2A3E1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E28656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Diabetes mellitus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EC7B1AF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68 (16.2%)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DF84B0F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36 (23.1%)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7964590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32 (12.2%)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9B89F4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0.003</w:t>
            </w:r>
          </w:p>
        </w:tc>
      </w:tr>
      <w:tr w:rsidR="00183516" w:rsidRPr="00EC0CFD" w14:paraId="75BA8522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815E71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 xml:space="preserve">Renal insufficiency </w:t>
            </w:r>
          </w:p>
          <w:p w14:paraId="7B4E92CC" w14:textId="77777777" w:rsidR="00183516" w:rsidRPr="00EC0CFD" w:rsidRDefault="00183516" w:rsidP="00CB0FCB">
            <w:pPr>
              <w:spacing w:line="360" w:lineRule="auto"/>
              <w:ind w:left="57" w:right="-371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(GFR &lt;60 ml/min/1.73 m</w:t>
            </w:r>
            <w:r w:rsidRPr="00EC0CFD">
              <w:rPr>
                <w:rFonts w:ascii="Times New Roman" w:hAnsi="Times New Roman" w:cs="Times New Roman"/>
                <w:sz w:val="16"/>
                <w:szCs w:val="16"/>
                <w:vertAlign w:val="superscript"/>
              </w:rPr>
              <w:t>2</w:t>
            </w: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62A6A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142 (34.1%), n=417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A028F7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62 (39.7%)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22504C7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80 (30.7%), n=261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D926F0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0.06</w:t>
            </w:r>
          </w:p>
        </w:tc>
      </w:tr>
      <w:tr w:rsidR="00183516" w:rsidRPr="00EC0CFD" w14:paraId="68794FEF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F9253AE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Active cancer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A0E41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64 (15.3%), n=418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5B5B2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26 (16.8%), n=155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59C52A3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38 (14.4%)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BF105D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0.52</w:t>
            </w:r>
          </w:p>
        </w:tc>
      </w:tr>
      <w:tr w:rsidR="00183516" w:rsidRPr="00EC0CFD" w14:paraId="3EFDB946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0FC6D67" w14:textId="77777777" w:rsidR="00183516" w:rsidRPr="00EC0CFD" w:rsidRDefault="00183516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Symptoms at presentation</w:t>
            </w:r>
          </w:p>
        </w:tc>
      </w:tr>
      <w:tr w:rsidR="00183516" w:rsidRPr="00EC0CFD" w14:paraId="41672C34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6B97664" w14:textId="6DE48BFB" w:rsidR="00183516" w:rsidRPr="00EC0CFD" w:rsidRDefault="00173853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Dyspn</w:t>
            </w:r>
            <w:r w:rsidR="004631B3" w:rsidRPr="00EC0CFD">
              <w:rPr>
                <w:rFonts w:ascii="Times New Roman" w:hAnsi="Times New Roman" w:cs="Times New Roman"/>
                <w:sz w:val="16"/>
                <w:szCs w:val="16"/>
              </w:rPr>
              <w:t>o</w:t>
            </w: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ea</w:t>
            </w:r>
            <w:proofErr w:type="spellEnd"/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3FFAA81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346 (83.2%), n=416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23CD7F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124 (80.0%), n=155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233665BE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222 (85.1%), n=261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78E9EE4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0.18</w:t>
            </w:r>
          </w:p>
        </w:tc>
      </w:tr>
      <w:tr w:rsidR="00183516" w:rsidRPr="00EC0CFD" w14:paraId="6EFDAD91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2E179E0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Syncope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167C4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60 (14.4%), n=417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8A9EAA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33 (21.2%)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799B2FF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27 (10.3%), n=261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18B7B15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0.002</w:t>
            </w:r>
          </w:p>
        </w:tc>
      </w:tr>
      <w:tr w:rsidR="00183516" w:rsidRPr="00EC0CFD" w14:paraId="2CFE1EB9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4F884D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Altered mental status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D0C2A8F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23 (5.5%)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6C96140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13 (8.3%)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26A4C206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10 (3.8%)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19B417B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0.049</w:t>
            </w:r>
          </w:p>
        </w:tc>
      </w:tr>
      <w:tr w:rsidR="00183516" w:rsidRPr="00EC0CFD" w14:paraId="4B9DC8D5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ED59E1" w14:textId="77777777" w:rsidR="00183516" w:rsidRPr="00EC0CFD" w:rsidRDefault="00183516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Clinical findings at presentation</w:t>
            </w:r>
          </w:p>
        </w:tc>
      </w:tr>
      <w:tr w:rsidR="00183516" w:rsidRPr="00EC0CFD" w14:paraId="354CCF61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2E60C7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Tachycardia (HR ≥100 bpm)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43A47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167 (40.1%), n=416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09FBFF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88 (56.4%)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19151C0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79 (30.4%), n=260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59E15A2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  <w:tr w:rsidR="00183516" w:rsidRPr="00EC0CFD" w14:paraId="75BC09C6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BC9913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Hypoxaemia</w:t>
            </w:r>
            <w:r w:rsidRPr="00EC0CFD">
              <w:rPr>
                <w:rFonts w:ascii="Times New Roman" w:hAnsi="Times New Roman" w:cs="Times New Roman"/>
                <w:sz w:val="16"/>
                <w:szCs w:val="16"/>
                <w:vertAlign w:val="superscript"/>
              </w:rPr>
              <w:t>a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4949C5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92 (23.2%), n=396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9FB235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51 (33.6%), n=152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2B84521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41 (16.8%), n=244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0E4E87C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  <w:tr w:rsidR="00183516" w:rsidRPr="00EC0CFD" w14:paraId="4A2BAE0C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CFF660" w14:textId="77777777" w:rsidR="00183516" w:rsidRPr="00EC0CFD" w:rsidRDefault="00183516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Laboratory and imaging markers</w:t>
            </w:r>
          </w:p>
        </w:tc>
      </w:tr>
      <w:tr w:rsidR="00183516" w:rsidRPr="00EC0CFD" w14:paraId="17C67BF8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8C0CEC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hsTnT ≥14 pg/ml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C9D95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266 (66.7%), n=399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A40D7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118 (80.8%), n=146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41A64C4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148 (58.5%), n=253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23CA024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  <w:tr w:rsidR="00183516" w:rsidRPr="00EC0CFD" w14:paraId="0478A3EF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48E9D9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RV/LV diameter ratio ≥1.0 on CTPA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40115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245 (76.6%), n=320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E69AB0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104 (84.6%), n=123</w:t>
            </w:r>
          </w:p>
        </w:tc>
        <w:tc>
          <w:tcPr>
            <w:tcW w:w="1095" w:type="pct"/>
            <w:shd w:val="clear" w:color="auto" w:fill="auto"/>
            <w:vAlign w:val="bottom"/>
          </w:tcPr>
          <w:p w14:paraId="5BC9287A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141 (71.6%), n=197</w:t>
            </w:r>
          </w:p>
        </w:tc>
        <w:tc>
          <w:tcPr>
            <w:tcW w:w="463" w:type="pct"/>
            <w:shd w:val="clear" w:color="auto" w:fill="auto"/>
            <w:vAlign w:val="bottom"/>
          </w:tcPr>
          <w:p w14:paraId="4F22C8A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0.008</w:t>
            </w:r>
          </w:p>
        </w:tc>
      </w:tr>
      <w:tr w:rsidR="00183516" w:rsidRPr="00EC0CFD" w14:paraId="60E918ED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35C591" w14:textId="14BB0F97" w:rsidR="00183516" w:rsidRPr="00EC0CFD" w:rsidRDefault="00C14E02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 xml:space="preserve">2019 </w:t>
            </w:r>
            <w:r w:rsidR="00183516"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ESC risk stratification</w:t>
            </w: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 xml:space="preserve"> algorithm</w:t>
            </w:r>
          </w:p>
        </w:tc>
      </w:tr>
      <w:tr w:rsidR="00183516" w:rsidRPr="00EC0CFD" w14:paraId="0B779942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96E205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Low risk</w:t>
            </w:r>
          </w:p>
          <w:p w14:paraId="40DBF7E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Intermediate-low risk</w:t>
            </w:r>
          </w:p>
          <w:p w14:paraId="51C1751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Intermediate-high risk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05B6B57A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47 (11.2%)</w:t>
            </w:r>
          </w:p>
          <w:p w14:paraId="4D5CB7ED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211 (50.4%)</w:t>
            </w:r>
          </w:p>
          <w:p w14:paraId="7908D82F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161 (38.4%)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635A8227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 (2.6%)</w:t>
            </w:r>
          </w:p>
          <w:p w14:paraId="223FEE68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71 (45.5%)</w:t>
            </w:r>
          </w:p>
          <w:p w14:paraId="09A9D643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81 (51.9%)</w:t>
            </w:r>
          </w:p>
        </w:tc>
        <w:tc>
          <w:tcPr>
            <w:tcW w:w="1095" w:type="pct"/>
            <w:shd w:val="clear" w:color="auto" w:fill="auto"/>
          </w:tcPr>
          <w:p w14:paraId="538D90F2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43 (16.3%)</w:t>
            </w:r>
          </w:p>
          <w:p w14:paraId="78FE6E20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140 (53.2%)</w:t>
            </w:r>
          </w:p>
          <w:p w14:paraId="53D3B623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80 (30.4%)</w:t>
            </w:r>
          </w:p>
        </w:tc>
        <w:tc>
          <w:tcPr>
            <w:tcW w:w="463" w:type="pct"/>
            <w:shd w:val="clear" w:color="auto" w:fill="auto"/>
          </w:tcPr>
          <w:p w14:paraId="7BFF47EF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  <w:tr w:rsidR="00183516" w:rsidRPr="00EC0CFD" w14:paraId="4100AB28" w14:textId="77777777" w:rsidTr="004631B3">
        <w:trPr>
          <w:trHeight w:val="20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F2F27" w14:textId="77777777" w:rsidR="00183516" w:rsidRPr="00EC0CFD" w:rsidRDefault="00183516" w:rsidP="004631B3">
            <w:pPr>
              <w:autoSpaceDE/>
              <w:autoSpaceDN/>
              <w:adjustRightInd/>
              <w:spacing w:line="360" w:lineRule="auto"/>
              <w:ind w:left="-33" w:firstLine="28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EC0CF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val="en-GB"/>
              </w:rPr>
              <w:t>Outcome</w:t>
            </w:r>
          </w:p>
        </w:tc>
      </w:tr>
      <w:tr w:rsidR="00183516" w:rsidRPr="00EC0CFD" w14:paraId="1D87F13C" w14:textId="77777777" w:rsidTr="00881FA2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51B2FC04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In-hospital adverse outcome</w:t>
            </w:r>
          </w:p>
          <w:p w14:paraId="5A7B012A" w14:textId="77777777" w:rsidR="00183516" w:rsidRPr="00EC0CFD" w:rsidRDefault="00183516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Catecholamine administration</w:t>
            </w:r>
          </w:p>
          <w:p w14:paraId="3BE88EAF" w14:textId="77777777" w:rsidR="00183516" w:rsidRPr="00EC0CFD" w:rsidRDefault="00183516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Cardiopulmonary resuscitation</w:t>
            </w:r>
          </w:p>
          <w:p w14:paraId="63B6B506" w14:textId="77777777" w:rsidR="00183516" w:rsidRPr="00EC0CFD" w:rsidRDefault="00183516" w:rsidP="00CB0FCB">
            <w:pPr>
              <w:spacing w:line="360" w:lineRule="auto"/>
              <w:ind w:left="268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PE-related death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34BA522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24 (5.7%)</w:t>
            </w:r>
          </w:p>
          <w:p w14:paraId="380AF027" w14:textId="77777777" w:rsidR="00183516" w:rsidRPr="00EC0CFD" w:rsidRDefault="00183516" w:rsidP="00CB0FCB">
            <w:pPr>
              <w:spacing w:line="360" w:lineRule="auto"/>
              <w:ind w:left="20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18 (4.3%)</w:t>
            </w:r>
          </w:p>
          <w:p w14:paraId="16ABEA1A" w14:textId="77777777" w:rsidR="00183516" w:rsidRPr="00EC0CFD" w:rsidRDefault="00183516" w:rsidP="00CB0FCB">
            <w:pPr>
              <w:spacing w:line="360" w:lineRule="auto"/>
              <w:ind w:left="208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 (1.7%)</w:t>
            </w:r>
          </w:p>
          <w:p w14:paraId="5C40AA6E" w14:textId="77777777" w:rsidR="00183516" w:rsidRPr="00EC0CFD" w:rsidRDefault="00183516" w:rsidP="00CB0FCB">
            <w:pPr>
              <w:spacing w:line="360" w:lineRule="auto"/>
              <w:ind w:left="173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10 (2.4%)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7D726A3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16 (10.3%)</w:t>
            </w:r>
          </w:p>
          <w:p w14:paraId="53F20B89" w14:textId="77777777" w:rsidR="00183516" w:rsidRPr="00EC0CFD" w:rsidRDefault="00183516" w:rsidP="00CB0FCB">
            <w:pPr>
              <w:spacing w:line="360" w:lineRule="auto"/>
              <w:ind w:left="201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13 (8.3%)</w:t>
            </w:r>
          </w:p>
          <w:p w14:paraId="07B17C30" w14:textId="77777777" w:rsidR="00183516" w:rsidRPr="00EC0CFD" w:rsidRDefault="00183516" w:rsidP="00CB0FCB">
            <w:pPr>
              <w:spacing w:line="360" w:lineRule="auto"/>
              <w:ind w:left="201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 (3.2%)</w:t>
            </w:r>
          </w:p>
          <w:p w14:paraId="3EF5E2C1" w14:textId="77777777" w:rsidR="00183516" w:rsidRPr="00EC0CFD" w:rsidRDefault="00183516" w:rsidP="00CB0FCB">
            <w:pPr>
              <w:spacing w:line="360" w:lineRule="auto"/>
              <w:ind w:left="201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 (3.2%)</w:t>
            </w:r>
          </w:p>
        </w:tc>
        <w:tc>
          <w:tcPr>
            <w:tcW w:w="1095" w:type="pct"/>
            <w:shd w:val="clear" w:color="auto" w:fill="auto"/>
          </w:tcPr>
          <w:p w14:paraId="7A08CB1E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8 (3.0%)</w:t>
            </w:r>
          </w:p>
          <w:p w14:paraId="3E654944" w14:textId="77777777" w:rsidR="00183516" w:rsidRPr="00EC0CFD" w:rsidRDefault="00183516" w:rsidP="00CB0FCB">
            <w:pPr>
              <w:spacing w:line="360" w:lineRule="auto"/>
              <w:ind w:left="164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 (1.9%)</w:t>
            </w:r>
          </w:p>
          <w:p w14:paraId="4EB889D9" w14:textId="77777777" w:rsidR="00183516" w:rsidRPr="00EC0CFD" w:rsidRDefault="00183516" w:rsidP="00CB0FCB">
            <w:pPr>
              <w:spacing w:line="360" w:lineRule="auto"/>
              <w:ind w:left="164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2 (0.8%)</w:t>
            </w:r>
          </w:p>
          <w:p w14:paraId="188D2300" w14:textId="77777777" w:rsidR="00183516" w:rsidRPr="00EC0CFD" w:rsidRDefault="00183516" w:rsidP="00CB0FCB">
            <w:pPr>
              <w:spacing w:line="360" w:lineRule="auto"/>
              <w:ind w:left="165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5 (1.9%)</w:t>
            </w:r>
          </w:p>
        </w:tc>
        <w:tc>
          <w:tcPr>
            <w:tcW w:w="463" w:type="pct"/>
            <w:shd w:val="clear" w:color="auto" w:fill="auto"/>
          </w:tcPr>
          <w:p w14:paraId="79847051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0.002</w:t>
            </w:r>
          </w:p>
          <w:p w14:paraId="68D5D1E7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0.002</w:t>
            </w:r>
          </w:p>
          <w:p w14:paraId="6DE27C22" w14:textId="10E42DBC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0.06</w:t>
            </w:r>
          </w:p>
          <w:p w14:paraId="24C10FCD" w14:textId="77777777" w:rsidR="00183516" w:rsidRPr="00EC0CFD" w:rsidRDefault="00183516" w:rsidP="00CB0FCB">
            <w:pPr>
              <w:spacing w:line="360" w:lineRule="auto"/>
              <w:ind w:left="5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0.4</w:t>
            </w:r>
          </w:p>
        </w:tc>
      </w:tr>
      <w:tr w:rsidR="00183516" w:rsidRPr="00EC0CFD" w14:paraId="6BEA7EE8" w14:textId="77777777" w:rsidTr="00CB0FCB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033E4266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In-hospital all-cause mortality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0685EDFE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17 (4.1%)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5B07DFD2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7 (4.5%)</w:t>
            </w:r>
          </w:p>
        </w:tc>
        <w:tc>
          <w:tcPr>
            <w:tcW w:w="1095" w:type="pct"/>
            <w:vAlign w:val="bottom"/>
          </w:tcPr>
          <w:p w14:paraId="5822751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10 (3.8%)</w:t>
            </w:r>
          </w:p>
        </w:tc>
        <w:tc>
          <w:tcPr>
            <w:tcW w:w="463" w:type="pct"/>
            <w:vAlign w:val="bottom"/>
          </w:tcPr>
          <w:p w14:paraId="3CF3B16D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0.73</w:t>
            </w:r>
          </w:p>
        </w:tc>
      </w:tr>
      <w:tr w:rsidR="00183516" w:rsidRPr="00EC0CFD" w14:paraId="61DE9F6E" w14:textId="77777777" w:rsidTr="00CB0FCB">
        <w:trPr>
          <w:trHeight w:val="20"/>
        </w:trPr>
        <w:tc>
          <w:tcPr>
            <w:tcW w:w="1342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1E138218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Reperfusion treatment</w:t>
            </w:r>
          </w:p>
        </w:tc>
        <w:tc>
          <w:tcPr>
            <w:tcW w:w="949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6D729747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19 (4.5%)</w:t>
            </w:r>
          </w:p>
        </w:tc>
        <w:tc>
          <w:tcPr>
            <w:tcW w:w="1151" w:type="pc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14:paraId="60226059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15 (9.6%)</w:t>
            </w:r>
          </w:p>
        </w:tc>
        <w:tc>
          <w:tcPr>
            <w:tcW w:w="1095" w:type="pct"/>
            <w:vAlign w:val="bottom"/>
          </w:tcPr>
          <w:p w14:paraId="21D7235B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sz w:val="16"/>
                <w:szCs w:val="16"/>
              </w:rPr>
              <w:t>4 (1.5%)</w:t>
            </w:r>
          </w:p>
        </w:tc>
        <w:tc>
          <w:tcPr>
            <w:tcW w:w="463" w:type="pct"/>
            <w:vAlign w:val="bottom"/>
          </w:tcPr>
          <w:p w14:paraId="5574188C" w14:textId="77777777" w:rsidR="00183516" w:rsidRPr="00EC0CFD" w:rsidRDefault="00183516" w:rsidP="00CB0FCB">
            <w:pPr>
              <w:spacing w:line="360" w:lineRule="auto"/>
              <w:ind w:left="57" w:right="-177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EC0CFD">
              <w:rPr>
                <w:rFonts w:ascii="Times New Roman" w:hAnsi="Times New Roman" w:cs="Times New Roman"/>
                <w:b/>
                <w:sz w:val="16"/>
                <w:szCs w:val="16"/>
              </w:rPr>
              <w:t>&lt;0.001</w:t>
            </w:r>
          </w:p>
        </w:tc>
      </w:tr>
    </w:tbl>
    <w:p w14:paraId="6D53FA12" w14:textId="6540AA01" w:rsidR="00A06F97" w:rsidRPr="00EC0CFD" w:rsidRDefault="00A06F97" w:rsidP="00A06F97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073C86" w14:textId="77777777" w:rsidR="001F78C3" w:rsidRDefault="001F78C3" w:rsidP="00881FA2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b/>
          <w:sz w:val="20"/>
          <w:szCs w:val="20"/>
        </w:rPr>
        <w:t>Table s2</w:t>
      </w:r>
      <w:r w:rsidRPr="001F78C3">
        <w:rPr>
          <w:rFonts w:ascii="Times New Roman" w:hAnsi="Times New Roman" w:cs="Times New Roman"/>
          <w:b/>
          <w:sz w:val="20"/>
          <w:szCs w:val="20"/>
        </w:rPr>
        <w:t>. Comorbidities, results from risk stratification and outcomes of study patients stratified to venous lactate levels below or ≥2.0 mmol/l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CC6E617" w14:textId="6A70B61C" w:rsidR="00881FA2" w:rsidRPr="00EC0CFD" w:rsidRDefault="00881FA2" w:rsidP="00881FA2">
      <w:pPr>
        <w:spacing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sz w:val="20"/>
          <w:szCs w:val="20"/>
        </w:rPr>
        <w:t>Statistically significant results are marked in bold letters.</w:t>
      </w:r>
    </w:p>
    <w:p w14:paraId="49AD7B00" w14:textId="63979E4C" w:rsidR="00A06F97" w:rsidRPr="00EC0CFD" w:rsidRDefault="00A06F97" w:rsidP="00881FA2">
      <w:pPr>
        <w:spacing w:line="360" w:lineRule="auto"/>
        <w:rPr>
          <w:rFonts w:ascii="Times New Roman" w:hAnsi="Times New Roman" w:cs="Times New Roman"/>
          <w:sz w:val="20"/>
          <w:szCs w:val="20"/>
        </w:rPr>
      </w:pPr>
      <w:r w:rsidRPr="00EC0CFD">
        <w:rPr>
          <w:rFonts w:ascii="Times New Roman" w:hAnsi="Times New Roman" w:cs="Times New Roman"/>
          <w:sz w:val="20"/>
          <w:szCs w:val="20"/>
          <w:u w:val="single"/>
        </w:rPr>
        <w:t>Abbreviations:</w:t>
      </w:r>
      <w:r w:rsidRPr="00EC0CFD">
        <w:rPr>
          <w:rFonts w:ascii="Times New Roman" w:hAnsi="Times New Roman" w:cs="Times New Roman"/>
          <w:sz w:val="20"/>
          <w:szCs w:val="20"/>
        </w:rPr>
        <w:t xml:space="preserve"> </w:t>
      </w:r>
      <w:r w:rsidR="00183516" w:rsidRPr="00EC0CFD">
        <w:rPr>
          <w:rFonts w:ascii="Times New Roman" w:hAnsi="Times New Roman" w:cs="Times New Roman"/>
          <w:sz w:val="20"/>
          <w:szCs w:val="20"/>
        </w:rPr>
        <w:t>H</w:t>
      </w:r>
      <w:r w:rsidRPr="00EC0CFD">
        <w:rPr>
          <w:rFonts w:ascii="Times New Roman" w:hAnsi="Times New Roman" w:cs="Times New Roman"/>
          <w:sz w:val="20"/>
          <w:szCs w:val="20"/>
        </w:rPr>
        <w:t>sTnT</w:t>
      </w:r>
      <w:r w:rsidR="00183516" w:rsidRPr="00EC0CFD">
        <w:rPr>
          <w:rFonts w:ascii="Times New Roman" w:hAnsi="Times New Roman" w:cs="Times New Roman"/>
          <w:sz w:val="20"/>
          <w:szCs w:val="20"/>
        </w:rPr>
        <w:t xml:space="preserve"> denotes</w:t>
      </w:r>
      <w:r w:rsidRPr="00EC0CFD">
        <w:rPr>
          <w:rFonts w:ascii="Times New Roman" w:hAnsi="Times New Roman" w:cs="Times New Roman"/>
          <w:sz w:val="20"/>
          <w:szCs w:val="20"/>
        </w:rPr>
        <w:t xml:space="preserve"> high sensitivity troponin T; RV/LV, right/left ventricle; CTPA, computed tomography pulmonary angiography; ESC, European </w:t>
      </w:r>
      <w:r w:rsidR="00183516" w:rsidRPr="00EC0CFD">
        <w:rPr>
          <w:rFonts w:ascii="Times New Roman" w:hAnsi="Times New Roman" w:cs="Times New Roman"/>
          <w:sz w:val="20"/>
          <w:szCs w:val="20"/>
        </w:rPr>
        <w:t>S</w:t>
      </w:r>
      <w:r w:rsidRPr="00EC0CFD">
        <w:rPr>
          <w:rFonts w:ascii="Times New Roman" w:hAnsi="Times New Roman" w:cs="Times New Roman"/>
          <w:sz w:val="20"/>
          <w:szCs w:val="20"/>
        </w:rPr>
        <w:t xml:space="preserve">ociety of </w:t>
      </w:r>
      <w:r w:rsidR="00183516" w:rsidRPr="00EC0CFD">
        <w:rPr>
          <w:rFonts w:ascii="Times New Roman" w:hAnsi="Times New Roman" w:cs="Times New Roman"/>
          <w:sz w:val="20"/>
          <w:szCs w:val="20"/>
        </w:rPr>
        <w:t>C</w:t>
      </w:r>
      <w:r w:rsidRPr="00EC0CFD">
        <w:rPr>
          <w:rFonts w:ascii="Times New Roman" w:hAnsi="Times New Roman" w:cs="Times New Roman"/>
          <w:sz w:val="20"/>
          <w:szCs w:val="20"/>
        </w:rPr>
        <w:t>ardiology; PE, pulmonary embolism.</w:t>
      </w:r>
    </w:p>
    <w:p w14:paraId="31CC71A7" w14:textId="6B502955" w:rsidR="00686655" w:rsidRPr="00EC0CFD" w:rsidRDefault="00331E7A" w:rsidP="00686655">
      <w:pPr>
        <w:rPr>
          <w:rFonts w:ascii="Times New Roman" w:hAnsi="Times New Roman" w:cs="Times New Roman"/>
          <w:b/>
          <w:sz w:val="24"/>
          <w:szCs w:val="24"/>
        </w:rPr>
      </w:pPr>
      <w:r w:rsidRPr="00EC0CFD">
        <w:rPr>
          <w:rFonts w:ascii="Times New Roman" w:hAnsi="Times New Roman" w:cs="Times New Roman"/>
          <w:sz w:val="24"/>
          <w:szCs w:val="24"/>
        </w:rPr>
        <w:br w:type="column"/>
      </w:r>
      <w:r w:rsidR="00686655" w:rsidRPr="00EC0CF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</w:p>
    <w:p w14:paraId="06955250" w14:textId="5DE367CF" w:rsidR="00174774" w:rsidRPr="00EC0CFD" w:rsidRDefault="004631B3">
      <w:pPr>
        <w:rPr>
          <w:rFonts w:ascii="Times New Roman" w:hAnsi="Times New Roman" w:cs="Times New Roman"/>
          <w:b/>
          <w:sz w:val="24"/>
        </w:rPr>
      </w:pPr>
      <w:r w:rsidRPr="00EC0CFD">
        <w:rPr>
          <w:rFonts w:ascii="Times New Roman" w:hAnsi="Times New Roman" w:cs="Times New Roman"/>
          <w:b/>
          <w:color w:val="1A1718"/>
          <w:sz w:val="24"/>
          <w:lang w:val="en-GB"/>
        </w:rPr>
        <w:t xml:space="preserve">Supplementary </w:t>
      </w:r>
      <w:r w:rsidR="00174774" w:rsidRPr="00EC0CFD">
        <w:rPr>
          <w:rFonts w:ascii="Times New Roman" w:hAnsi="Times New Roman" w:cs="Times New Roman"/>
          <w:b/>
          <w:sz w:val="24"/>
        </w:rPr>
        <w:t>Figures</w:t>
      </w:r>
    </w:p>
    <w:p w14:paraId="31E6E3F4" w14:textId="01C3E17C" w:rsidR="00174774" w:rsidRPr="00EC0CFD" w:rsidRDefault="00174774">
      <w:pPr>
        <w:rPr>
          <w:rFonts w:ascii="Times New Roman" w:hAnsi="Times New Roman" w:cs="Times New Roman"/>
          <w:sz w:val="24"/>
          <w:szCs w:val="24"/>
        </w:rPr>
      </w:pPr>
    </w:p>
    <w:p w14:paraId="09BA8DC6" w14:textId="7401462C" w:rsidR="00174774" w:rsidRPr="00EC0CFD" w:rsidRDefault="00174774">
      <w:pPr>
        <w:rPr>
          <w:rFonts w:ascii="Times New Roman" w:hAnsi="Times New Roman" w:cs="Times New Roman"/>
          <w:sz w:val="24"/>
          <w:szCs w:val="24"/>
        </w:rPr>
      </w:pPr>
    </w:p>
    <w:p w14:paraId="1484095A" w14:textId="6606E4CB" w:rsidR="00174774" w:rsidRPr="00EC0CFD" w:rsidRDefault="00EC0CFD" w:rsidP="00174774">
      <w:pPr>
        <w:rPr>
          <w:rFonts w:ascii="Times New Roman" w:hAnsi="Times New Roman" w:cs="Times New Roman"/>
        </w:rPr>
      </w:pPr>
      <w:r w:rsidRPr="00EC0CFD">
        <w:rPr>
          <w:rFonts w:ascii="Times New Roman" w:hAnsi="Times New Roman" w:cs="Times New Roman"/>
          <w:noProof/>
        </w:rPr>
        <w:drawing>
          <wp:inline distT="0" distB="0" distL="0" distR="0" wp14:anchorId="318439A8" wp14:editId="522B9D3B">
            <wp:extent cx="6264000" cy="28107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2810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51AA" w14:textId="69D3C35E" w:rsidR="00331E7A" w:rsidRPr="00EC0CFD" w:rsidRDefault="00331E7A" w:rsidP="00174774">
      <w:pPr>
        <w:rPr>
          <w:rFonts w:ascii="Times New Roman" w:hAnsi="Times New Roman" w:cs="Times New Roman"/>
        </w:rPr>
      </w:pPr>
    </w:p>
    <w:p w14:paraId="14C3DDDA" w14:textId="7D4E97F6" w:rsidR="00331E7A" w:rsidRPr="00EC0CFD" w:rsidRDefault="00331E7A" w:rsidP="00174774">
      <w:pPr>
        <w:rPr>
          <w:rFonts w:ascii="Times New Roman" w:hAnsi="Times New Roman" w:cs="Times New Roman"/>
          <w:b/>
          <w:sz w:val="24"/>
          <w:szCs w:val="24"/>
        </w:rPr>
      </w:pPr>
    </w:p>
    <w:p w14:paraId="673DD33E" w14:textId="49DDD87A" w:rsidR="001F78C3" w:rsidRPr="001F78C3" w:rsidRDefault="001F78C3" w:rsidP="001F78C3">
      <w:pPr>
        <w:spacing w:after="120" w:line="48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1F78C3">
        <w:rPr>
          <w:rFonts w:ascii="Times New Roman" w:hAnsi="Times New Roman" w:cs="Times New Roman"/>
          <w:b/>
          <w:sz w:val="20"/>
          <w:szCs w:val="20"/>
        </w:rPr>
        <w:t>Figure s1. Venous lactate using a cut-off value of 2.0 mmol/l for risk stratification in addition to the ESC 2019 algorithm</w:t>
      </w:r>
    </w:p>
    <w:p w14:paraId="0A5FD952" w14:textId="77777777" w:rsidR="00686655" w:rsidRDefault="00686655" w:rsidP="00686655">
      <w:pPr>
        <w:rPr>
          <w:rFonts w:ascii="Times New Roman" w:hAnsi="Times New Roman" w:cs="Times New Roman"/>
          <w:b/>
          <w:sz w:val="24"/>
          <w:szCs w:val="24"/>
        </w:rPr>
      </w:pPr>
    </w:p>
    <w:p w14:paraId="79290B81" w14:textId="77777777" w:rsidR="00105E23" w:rsidRDefault="00105E23" w:rsidP="00686655">
      <w:pPr>
        <w:rPr>
          <w:rFonts w:ascii="Times New Roman" w:hAnsi="Times New Roman" w:cs="Times New Roman"/>
          <w:b/>
          <w:sz w:val="24"/>
          <w:szCs w:val="24"/>
        </w:rPr>
      </w:pPr>
    </w:p>
    <w:p w14:paraId="36AB5351" w14:textId="77777777" w:rsidR="00105E23" w:rsidRPr="0084057F" w:rsidRDefault="00105E23" w:rsidP="00105E23">
      <w:pPr>
        <w:widowControl w:val="0"/>
        <w:tabs>
          <w:tab w:val="left" w:pos="720"/>
        </w:tabs>
        <w:spacing w:after="120" w:line="480" w:lineRule="auto"/>
        <w:jc w:val="both"/>
        <w:rPr>
          <w:sz w:val="20"/>
          <w:szCs w:val="20"/>
          <w:lang w:val="en-GB"/>
        </w:rPr>
      </w:pPr>
      <w:r w:rsidRPr="00671B69">
        <w:rPr>
          <w:noProof/>
          <w:sz w:val="20"/>
          <w:szCs w:val="20"/>
          <w:lang w:val="en-GB"/>
        </w:rPr>
        <w:drawing>
          <wp:inline distT="0" distB="0" distL="0" distR="0" wp14:anchorId="7E5BD82F" wp14:editId="40C27744">
            <wp:extent cx="5276193" cy="3661792"/>
            <wp:effectExtent l="0" t="0" r="0" b="0"/>
            <wp:docPr id="3" name="Picture 3" descr="A close up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lose up of a map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8267" cy="367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82337" w14:textId="2786BF0B" w:rsidR="00105E23" w:rsidRPr="00B04D6E" w:rsidRDefault="00105E23" w:rsidP="00105E23">
      <w:pPr>
        <w:spacing w:after="120" w:line="480" w:lineRule="auto"/>
        <w:jc w:val="both"/>
        <w:rPr>
          <w:rFonts w:ascii="Times New Roman" w:hAnsi="Times New Roman" w:cs="Times New Roman"/>
          <w:b/>
          <w:color w:val="FF0000"/>
          <w:sz w:val="20"/>
          <w:szCs w:val="20"/>
        </w:rPr>
      </w:pPr>
      <w:r w:rsidRPr="00B04D6E">
        <w:rPr>
          <w:rFonts w:ascii="Times New Roman" w:hAnsi="Times New Roman" w:cs="Times New Roman"/>
          <w:b/>
          <w:color w:val="FF0000"/>
          <w:sz w:val="20"/>
          <w:szCs w:val="20"/>
        </w:rPr>
        <w:t xml:space="preserve">Figure </w:t>
      </w:r>
      <w:r w:rsidRPr="00B04D6E">
        <w:rPr>
          <w:rFonts w:ascii="Times New Roman" w:hAnsi="Times New Roman" w:cs="Times New Roman"/>
          <w:b/>
          <w:color w:val="FF0000"/>
          <w:sz w:val="20"/>
          <w:szCs w:val="20"/>
        </w:rPr>
        <w:t>s2</w:t>
      </w:r>
      <w:r w:rsidRPr="00B04D6E">
        <w:rPr>
          <w:rFonts w:ascii="Times New Roman" w:hAnsi="Times New Roman" w:cs="Times New Roman"/>
          <w:b/>
          <w:color w:val="FF0000"/>
          <w:sz w:val="20"/>
          <w:szCs w:val="20"/>
        </w:rPr>
        <w:t xml:space="preserve">. One-year mortality in patients stratified to venous lactate levels at presentation </w:t>
      </w:r>
    </w:p>
    <w:p w14:paraId="0AF47AEF" w14:textId="76356322" w:rsidR="00105E23" w:rsidRPr="00105E23" w:rsidRDefault="00105E23" w:rsidP="00686655">
      <w:pPr>
        <w:rPr>
          <w:rFonts w:ascii="Times New Roman" w:hAnsi="Times New Roman" w:cs="Times New Roman"/>
          <w:b/>
          <w:sz w:val="24"/>
          <w:szCs w:val="24"/>
          <w:lang w:val="en-GB"/>
        </w:rPr>
        <w:sectPr w:rsidR="00105E23" w:rsidRPr="00105E23" w:rsidSect="006436F7">
          <w:headerReference w:type="default" r:id="rId9"/>
          <w:footerReference w:type="default" r:id="rId10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0D6A6283" w14:textId="77777777" w:rsidR="00686655" w:rsidRPr="00EC0CFD" w:rsidRDefault="00686655" w:rsidP="00686655">
      <w:pPr>
        <w:rPr>
          <w:rFonts w:ascii="Times New Roman" w:hAnsi="Times New Roman" w:cs="Times New Roman"/>
          <w:sz w:val="24"/>
          <w:szCs w:val="24"/>
        </w:rPr>
      </w:pPr>
    </w:p>
    <w:p w14:paraId="4551EC12" w14:textId="2C0B0430" w:rsidR="00686655" w:rsidRPr="00EC0CFD" w:rsidRDefault="0090115C" w:rsidP="00686655">
      <w:pPr>
        <w:rPr>
          <w:rFonts w:ascii="Times New Roman" w:hAnsi="Times New Roman" w:cs="Times New Roman"/>
          <w:sz w:val="24"/>
          <w:szCs w:val="24"/>
        </w:rPr>
      </w:pPr>
      <w:r w:rsidRPr="0090115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AC7B28" wp14:editId="292F835F">
            <wp:extent cx="9060815" cy="33801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60815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8C2C2" w14:textId="01A244C3" w:rsidR="00686655" w:rsidRDefault="00686655" w:rsidP="00686655">
      <w:pPr>
        <w:rPr>
          <w:rFonts w:ascii="Times New Roman" w:hAnsi="Times New Roman" w:cs="Times New Roman"/>
          <w:b/>
          <w:sz w:val="24"/>
          <w:szCs w:val="24"/>
        </w:rPr>
      </w:pPr>
    </w:p>
    <w:p w14:paraId="054CFA34" w14:textId="16C74F35" w:rsidR="001F78C3" w:rsidRPr="001F78C3" w:rsidRDefault="001F78C3" w:rsidP="001F78C3">
      <w:pPr>
        <w:rPr>
          <w:rFonts w:ascii="Times New Roman" w:hAnsi="Times New Roman" w:cs="Times New Roman"/>
          <w:b/>
          <w:sz w:val="20"/>
          <w:szCs w:val="20"/>
        </w:rPr>
      </w:pPr>
      <w:r w:rsidRPr="001F78C3">
        <w:rPr>
          <w:rFonts w:ascii="Times New Roman" w:hAnsi="Times New Roman" w:cs="Times New Roman"/>
          <w:b/>
          <w:sz w:val="20"/>
          <w:szCs w:val="20"/>
        </w:rPr>
        <w:t>Figure s</w:t>
      </w:r>
      <w:r w:rsidR="00105E23" w:rsidRPr="00B04D6E">
        <w:rPr>
          <w:rFonts w:ascii="Times New Roman" w:hAnsi="Times New Roman" w:cs="Times New Roman"/>
          <w:b/>
          <w:color w:val="FF0000"/>
          <w:sz w:val="20"/>
          <w:szCs w:val="20"/>
        </w:rPr>
        <w:t>3</w:t>
      </w:r>
      <w:r>
        <w:rPr>
          <w:rFonts w:ascii="Times New Roman" w:hAnsi="Times New Roman" w:cs="Times New Roman"/>
          <w:b/>
          <w:sz w:val="20"/>
          <w:szCs w:val="20"/>
        </w:rPr>
        <w:t>.</w:t>
      </w:r>
      <w:r w:rsidRPr="001F78C3">
        <w:rPr>
          <w:rFonts w:ascii="Times New Roman" w:hAnsi="Times New Roman" w:cs="Times New Roman"/>
          <w:b/>
          <w:sz w:val="20"/>
          <w:szCs w:val="20"/>
        </w:rPr>
        <w:t xml:space="preserve"> Venous lactate and rates of in-hospital adverse-outcomes stratified according to the 2019 ESC algorithm</w:t>
      </w:r>
    </w:p>
    <w:p w14:paraId="4934AFE7" w14:textId="77777777" w:rsidR="001F78C3" w:rsidRPr="00EC0CFD" w:rsidRDefault="001F78C3" w:rsidP="00686655">
      <w:pPr>
        <w:rPr>
          <w:rFonts w:ascii="Times New Roman" w:hAnsi="Times New Roman" w:cs="Times New Roman"/>
          <w:b/>
          <w:sz w:val="24"/>
          <w:szCs w:val="24"/>
        </w:rPr>
      </w:pPr>
    </w:p>
    <w:sectPr w:rsidR="001F78C3" w:rsidRPr="00EC0CFD" w:rsidSect="00686655">
      <w:pgSz w:w="16820" w:h="11900" w:orient="landscape"/>
      <w:pgMar w:top="1417" w:right="1134" w:bottom="1417" w:left="1417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1C4DF3" w14:textId="77777777" w:rsidR="008C2F53" w:rsidRDefault="008C2F53" w:rsidP="0031106B">
      <w:r>
        <w:separator/>
      </w:r>
    </w:p>
  </w:endnote>
  <w:endnote w:type="continuationSeparator" w:id="0">
    <w:p w14:paraId="318D069E" w14:textId="77777777" w:rsidR="008C2F53" w:rsidRDefault="008C2F53" w:rsidP="003110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Helvetica Neue Thin">
    <w:altName w:val="Helvetica Neue Thin"/>
    <w:panose1 w:val="020B0403020202020204"/>
    <w:charset w:val="00"/>
    <w:family w:val="swiss"/>
    <w:pitch w:val="variable"/>
    <w:sig w:usb0="E00002EF" w:usb1="5000205B" w:usb2="00000002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299580089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4"/>
        <w:szCs w:val="24"/>
      </w:rPr>
    </w:sdtEndPr>
    <w:sdtContent>
      <w:p w14:paraId="1F77CEBD" w14:textId="6C1D8433" w:rsidR="0031106B" w:rsidRPr="00875EFF" w:rsidRDefault="0031106B">
        <w:pPr>
          <w:pStyle w:val="Footer"/>
          <w:jc w:val="right"/>
          <w:rPr>
            <w:rFonts w:asciiTheme="minorHAnsi" w:hAnsiTheme="minorHAnsi" w:cstheme="minorHAnsi"/>
            <w:sz w:val="24"/>
            <w:szCs w:val="24"/>
          </w:rPr>
        </w:pPr>
        <w:r w:rsidRPr="00875EFF">
          <w:rPr>
            <w:rFonts w:asciiTheme="minorHAnsi" w:hAnsiTheme="minorHAnsi" w:cstheme="minorHAnsi"/>
            <w:sz w:val="24"/>
            <w:szCs w:val="24"/>
          </w:rPr>
          <w:fldChar w:fldCharType="begin"/>
        </w:r>
        <w:r w:rsidRPr="00875EFF">
          <w:rPr>
            <w:rFonts w:asciiTheme="minorHAnsi" w:hAnsiTheme="minorHAnsi" w:cstheme="minorHAnsi"/>
            <w:sz w:val="24"/>
            <w:szCs w:val="24"/>
          </w:rPr>
          <w:instrText>PAGE   \* MERGEFORMAT</w:instrText>
        </w:r>
        <w:r w:rsidRPr="00875EFF">
          <w:rPr>
            <w:rFonts w:asciiTheme="minorHAnsi" w:hAnsiTheme="minorHAnsi" w:cstheme="minorHAnsi"/>
            <w:sz w:val="24"/>
            <w:szCs w:val="24"/>
          </w:rPr>
          <w:fldChar w:fldCharType="separate"/>
        </w:r>
        <w:r w:rsidRPr="00875EFF">
          <w:rPr>
            <w:rFonts w:asciiTheme="minorHAnsi" w:hAnsiTheme="minorHAnsi" w:cstheme="minorHAnsi"/>
            <w:sz w:val="24"/>
            <w:szCs w:val="24"/>
            <w:lang w:val="de-DE"/>
          </w:rPr>
          <w:t>2</w:t>
        </w:r>
        <w:r w:rsidRPr="00875EFF">
          <w:rPr>
            <w:rFonts w:asciiTheme="minorHAnsi" w:hAnsiTheme="minorHAnsi" w:cstheme="minorHAnsi"/>
            <w:sz w:val="24"/>
            <w:szCs w:val="24"/>
          </w:rPr>
          <w:fldChar w:fldCharType="end"/>
        </w:r>
      </w:p>
    </w:sdtContent>
  </w:sdt>
  <w:p w14:paraId="6E388177" w14:textId="77777777" w:rsidR="0031106B" w:rsidRDefault="003110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705B91" w14:textId="77777777" w:rsidR="008C2F53" w:rsidRDefault="008C2F53" w:rsidP="0031106B">
      <w:r>
        <w:separator/>
      </w:r>
    </w:p>
  </w:footnote>
  <w:footnote w:type="continuationSeparator" w:id="0">
    <w:p w14:paraId="5354248A" w14:textId="77777777" w:rsidR="008C2F53" w:rsidRDefault="008C2F53" w:rsidP="003110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5FEF63" w14:textId="77777777" w:rsidR="00313ADD" w:rsidRDefault="00313ADD" w:rsidP="004631B3">
    <w:pPr>
      <w:pStyle w:val="Header"/>
      <w:jc w:val="center"/>
      <w:rPr>
        <w:rFonts w:ascii="Times New Roman" w:hAnsi="Times New Roman" w:cs="Times New Roman"/>
        <w:sz w:val="16"/>
        <w:szCs w:val="16"/>
        <w:lang w:val="de-AT"/>
      </w:rPr>
    </w:pPr>
  </w:p>
  <w:p w14:paraId="145E386C" w14:textId="7F5E7949" w:rsidR="004631B3" w:rsidRPr="00313ADD" w:rsidRDefault="004631B3" w:rsidP="004631B3">
    <w:pPr>
      <w:pStyle w:val="Header"/>
      <w:jc w:val="center"/>
      <w:rPr>
        <w:rFonts w:ascii="Times New Roman" w:hAnsi="Times New Roman" w:cs="Times New Roman"/>
        <w:sz w:val="16"/>
        <w:szCs w:val="16"/>
        <w:lang w:val="de-AT"/>
      </w:rPr>
    </w:pPr>
    <w:r w:rsidRPr="00313ADD">
      <w:rPr>
        <w:rFonts w:ascii="Times New Roman" w:hAnsi="Times New Roman" w:cs="Times New Roman"/>
        <w:sz w:val="16"/>
        <w:szCs w:val="16"/>
        <w:lang w:val="de-AT"/>
      </w:rPr>
      <w:t xml:space="preserve">Ebner M et al., </w:t>
    </w:r>
    <w:proofErr w:type="spellStart"/>
    <w:r w:rsidRPr="00313ADD">
      <w:rPr>
        <w:rFonts w:ascii="Times New Roman" w:hAnsi="Times New Roman" w:cs="Times New Roman"/>
        <w:sz w:val="16"/>
        <w:szCs w:val="16"/>
        <w:lang w:val="de-AT"/>
      </w:rPr>
      <w:t>Venous</w:t>
    </w:r>
    <w:proofErr w:type="spellEnd"/>
    <w:r w:rsidRPr="00313ADD">
      <w:rPr>
        <w:rFonts w:ascii="Times New Roman" w:hAnsi="Times New Roman" w:cs="Times New Roman"/>
        <w:sz w:val="16"/>
        <w:szCs w:val="16"/>
        <w:lang w:val="de-AT"/>
      </w:rPr>
      <w:t xml:space="preserve"> </w:t>
    </w:r>
    <w:proofErr w:type="spellStart"/>
    <w:r w:rsidRPr="00313ADD">
      <w:rPr>
        <w:rFonts w:ascii="Times New Roman" w:hAnsi="Times New Roman" w:cs="Times New Roman"/>
        <w:sz w:val="16"/>
        <w:szCs w:val="16"/>
        <w:lang w:val="de-AT"/>
      </w:rPr>
      <w:t>lactate</w:t>
    </w:r>
    <w:proofErr w:type="spellEnd"/>
    <w:r w:rsidRPr="00313ADD">
      <w:rPr>
        <w:rFonts w:ascii="Times New Roman" w:hAnsi="Times New Roman" w:cs="Times New Roman"/>
        <w:sz w:val="16"/>
        <w:szCs w:val="16"/>
        <w:lang w:val="de-AT"/>
      </w:rPr>
      <w:t xml:space="preserve"> in PE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8854109"/>
    <w:multiLevelType w:val="hybridMultilevel"/>
    <w:tmpl w:val="302213B4"/>
    <w:lvl w:ilvl="0" w:tplc="6D164458">
      <w:start w:val="44"/>
      <w:numFmt w:val="bullet"/>
      <w:lvlText w:val="-"/>
      <w:lvlJc w:val="left"/>
      <w:pPr>
        <w:ind w:left="720" w:hanging="360"/>
      </w:pPr>
      <w:rPr>
        <w:rFonts w:ascii="Helvetica Neue Thin" w:eastAsia="Times New Roman" w:hAnsi="Helvetica Neue Thi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1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2CA5"/>
    <w:rsid w:val="00024CB3"/>
    <w:rsid w:val="00025223"/>
    <w:rsid w:val="000623B2"/>
    <w:rsid w:val="00062914"/>
    <w:rsid w:val="00075B1C"/>
    <w:rsid w:val="00095B85"/>
    <w:rsid w:val="000A6D81"/>
    <w:rsid w:val="000C792F"/>
    <w:rsid w:val="000D09DA"/>
    <w:rsid w:val="000D4D46"/>
    <w:rsid w:val="000E3849"/>
    <w:rsid w:val="00105E23"/>
    <w:rsid w:val="00114529"/>
    <w:rsid w:val="00120DFD"/>
    <w:rsid w:val="00121E42"/>
    <w:rsid w:val="00130467"/>
    <w:rsid w:val="00135A16"/>
    <w:rsid w:val="00144892"/>
    <w:rsid w:val="00152005"/>
    <w:rsid w:val="00173853"/>
    <w:rsid w:val="00174774"/>
    <w:rsid w:val="00183516"/>
    <w:rsid w:val="001B2626"/>
    <w:rsid w:val="001C38AC"/>
    <w:rsid w:val="001C6067"/>
    <w:rsid w:val="001D3783"/>
    <w:rsid w:val="001D6A50"/>
    <w:rsid w:val="001E2570"/>
    <w:rsid w:val="001F786E"/>
    <w:rsid w:val="001F78C3"/>
    <w:rsid w:val="001F7C7A"/>
    <w:rsid w:val="0021346F"/>
    <w:rsid w:val="0022241D"/>
    <w:rsid w:val="00226446"/>
    <w:rsid w:val="002272D6"/>
    <w:rsid w:val="0023351F"/>
    <w:rsid w:val="00256671"/>
    <w:rsid w:val="002A0302"/>
    <w:rsid w:val="002A3EE8"/>
    <w:rsid w:val="002B03F8"/>
    <w:rsid w:val="002F271A"/>
    <w:rsid w:val="00303B66"/>
    <w:rsid w:val="0031106B"/>
    <w:rsid w:val="00313ADD"/>
    <w:rsid w:val="00331E7A"/>
    <w:rsid w:val="00340CF8"/>
    <w:rsid w:val="003456A2"/>
    <w:rsid w:val="00354E5D"/>
    <w:rsid w:val="00394577"/>
    <w:rsid w:val="003B1DAE"/>
    <w:rsid w:val="003C3062"/>
    <w:rsid w:val="003C7251"/>
    <w:rsid w:val="003D0CE7"/>
    <w:rsid w:val="003F2810"/>
    <w:rsid w:val="0041401C"/>
    <w:rsid w:val="00427C19"/>
    <w:rsid w:val="00446F0D"/>
    <w:rsid w:val="00452E24"/>
    <w:rsid w:val="00462C7A"/>
    <w:rsid w:val="004631B3"/>
    <w:rsid w:val="00477EEE"/>
    <w:rsid w:val="00480CD3"/>
    <w:rsid w:val="004A77C9"/>
    <w:rsid w:val="004B4D83"/>
    <w:rsid w:val="004C76C9"/>
    <w:rsid w:val="004F74CE"/>
    <w:rsid w:val="0051435C"/>
    <w:rsid w:val="0052312F"/>
    <w:rsid w:val="005234CC"/>
    <w:rsid w:val="00545E0F"/>
    <w:rsid w:val="00567658"/>
    <w:rsid w:val="0056791F"/>
    <w:rsid w:val="005721E0"/>
    <w:rsid w:val="005746EE"/>
    <w:rsid w:val="00587CAD"/>
    <w:rsid w:val="005B1693"/>
    <w:rsid w:val="005C396C"/>
    <w:rsid w:val="005D3999"/>
    <w:rsid w:val="005E48E9"/>
    <w:rsid w:val="005F31E6"/>
    <w:rsid w:val="00603E65"/>
    <w:rsid w:val="00615CA9"/>
    <w:rsid w:val="00623633"/>
    <w:rsid w:val="006436F7"/>
    <w:rsid w:val="006670DF"/>
    <w:rsid w:val="00674240"/>
    <w:rsid w:val="0068516D"/>
    <w:rsid w:val="00686655"/>
    <w:rsid w:val="006A37E8"/>
    <w:rsid w:val="006C2F86"/>
    <w:rsid w:val="006C43EE"/>
    <w:rsid w:val="00705B37"/>
    <w:rsid w:val="0071099E"/>
    <w:rsid w:val="00714470"/>
    <w:rsid w:val="00716B45"/>
    <w:rsid w:val="007450E8"/>
    <w:rsid w:val="00783743"/>
    <w:rsid w:val="007A1564"/>
    <w:rsid w:val="007A2743"/>
    <w:rsid w:val="007A5AC7"/>
    <w:rsid w:val="007C3D20"/>
    <w:rsid w:val="007C4F57"/>
    <w:rsid w:val="007C5CCC"/>
    <w:rsid w:val="007D191B"/>
    <w:rsid w:val="007D1BDE"/>
    <w:rsid w:val="007D41EE"/>
    <w:rsid w:val="007D65A2"/>
    <w:rsid w:val="007F4886"/>
    <w:rsid w:val="00805553"/>
    <w:rsid w:val="00810566"/>
    <w:rsid w:val="008168C8"/>
    <w:rsid w:val="00816ACF"/>
    <w:rsid w:val="008304E3"/>
    <w:rsid w:val="0083397B"/>
    <w:rsid w:val="00840DCA"/>
    <w:rsid w:val="0084154E"/>
    <w:rsid w:val="008432CB"/>
    <w:rsid w:val="008646BE"/>
    <w:rsid w:val="008663F0"/>
    <w:rsid w:val="00874509"/>
    <w:rsid w:val="00875523"/>
    <w:rsid w:val="00875EFF"/>
    <w:rsid w:val="00881FA2"/>
    <w:rsid w:val="008922E3"/>
    <w:rsid w:val="00895BC7"/>
    <w:rsid w:val="008C2F53"/>
    <w:rsid w:val="0090115C"/>
    <w:rsid w:val="00903B44"/>
    <w:rsid w:val="009055D2"/>
    <w:rsid w:val="00913793"/>
    <w:rsid w:val="00927A91"/>
    <w:rsid w:val="009471D9"/>
    <w:rsid w:val="00961941"/>
    <w:rsid w:val="0096635B"/>
    <w:rsid w:val="00982AFB"/>
    <w:rsid w:val="009E344C"/>
    <w:rsid w:val="00A06F97"/>
    <w:rsid w:val="00A10ACD"/>
    <w:rsid w:val="00A37523"/>
    <w:rsid w:val="00A41674"/>
    <w:rsid w:val="00A5273B"/>
    <w:rsid w:val="00A64F5F"/>
    <w:rsid w:val="00A724FF"/>
    <w:rsid w:val="00AC7F44"/>
    <w:rsid w:val="00AD0A33"/>
    <w:rsid w:val="00AF65B5"/>
    <w:rsid w:val="00AF7023"/>
    <w:rsid w:val="00B04D6E"/>
    <w:rsid w:val="00B07A71"/>
    <w:rsid w:val="00B25BFD"/>
    <w:rsid w:val="00B5328D"/>
    <w:rsid w:val="00B61F07"/>
    <w:rsid w:val="00B772EB"/>
    <w:rsid w:val="00B94216"/>
    <w:rsid w:val="00BA4475"/>
    <w:rsid w:val="00BA61AB"/>
    <w:rsid w:val="00BB19F8"/>
    <w:rsid w:val="00BC2F17"/>
    <w:rsid w:val="00BE6B81"/>
    <w:rsid w:val="00C14E02"/>
    <w:rsid w:val="00C37702"/>
    <w:rsid w:val="00C648D7"/>
    <w:rsid w:val="00C733F6"/>
    <w:rsid w:val="00C75835"/>
    <w:rsid w:val="00C95DA0"/>
    <w:rsid w:val="00CB3760"/>
    <w:rsid w:val="00CB42BB"/>
    <w:rsid w:val="00CC059B"/>
    <w:rsid w:val="00CC0EA7"/>
    <w:rsid w:val="00CD1DF4"/>
    <w:rsid w:val="00CD2F6A"/>
    <w:rsid w:val="00CD33B6"/>
    <w:rsid w:val="00D72315"/>
    <w:rsid w:val="00D824F2"/>
    <w:rsid w:val="00D82CA5"/>
    <w:rsid w:val="00D93055"/>
    <w:rsid w:val="00DA2292"/>
    <w:rsid w:val="00DD5321"/>
    <w:rsid w:val="00E25780"/>
    <w:rsid w:val="00E45579"/>
    <w:rsid w:val="00E553F0"/>
    <w:rsid w:val="00E66002"/>
    <w:rsid w:val="00E838D8"/>
    <w:rsid w:val="00E94DEA"/>
    <w:rsid w:val="00E96AD0"/>
    <w:rsid w:val="00EC0CFD"/>
    <w:rsid w:val="00EC31D0"/>
    <w:rsid w:val="00EC797C"/>
    <w:rsid w:val="00EE075D"/>
    <w:rsid w:val="00F232C0"/>
    <w:rsid w:val="00F43E58"/>
    <w:rsid w:val="00F53468"/>
    <w:rsid w:val="00F55B23"/>
    <w:rsid w:val="00F826F1"/>
    <w:rsid w:val="00FA2182"/>
    <w:rsid w:val="00FA2795"/>
    <w:rsid w:val="00FC080D"/>
    <w:rsid w:val="00FD5C54"/>
    <w:rsid w:val="00FE0F8E"/>
    <w:rsid w:val="00FE3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7AC9EA4"/>
  <w14:defaultImageDpi w14:val="32767"/>
  <w15:chartTrackingRefBased/>
  <w15:docId w15:val="{67D44B2A-546C-0749-9F2A-F1D68B3131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uiPriority w:val="99"/>
    <w:qFormat/>
    <w:rsid w:val="000D4D46"/>
    <w:pPr>
      <w:autoSpaceDE w:val="0"/>
      <w:autoSpaceDN w:val="0"/>
      <w:adjustRightInd w:val="0"/>
    </w:pPr>
    <w:rPr>
      <w:rFonts w:ascii="Courier New" w:hAnsi="Courier New" w:cs="Courier New"/>
      <w:color w:val="000000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2241D"/>
    <w:pPr>
      <w:autoSpaceDE/>
      <w:autoSpaceDN/>
      <w:adjustRightInd/>
      <w:ind w:left="720"/>
      <w:contextualSpacing/>
    </w:pPr>
    <w:rPr>
      <w:rFonts w:ascii="Times New Roman" w:eastAsia="Times New Roman" w:hAnsi="Times New Roman" w:cs="Times New Roman"/>
      <w:color w:val="auto"/>
      <w:sz w:val="24"/>
      <w:szCs w:val="24"/>
      <w:lang w:val="de-DE"/>
    </w:rPr>
  </w:style>
  <w:style w:type="paragraph" w:styleId="NormalWeb">
    <w:name w:val="Normal (Web)"/>
    <w:basedOn w:val="Normal"/>
    <w:uiPriority w:val="99"/>
    <w:unhideWhenUsed/>
    <w:rsid w:val="00A06F97"/>
    <w:pPr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val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056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0566"/>
    <w:rPr>
      <w:rFonts w:ascii="Times New Roman" w:hAnsi="Times New Roman" w:cs="Times New Roman"/>
      <w:color w:val="000000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31106B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106B"/>
    <w:rPr>
      <w:rFonts w:ascii="Courier New" w:hAnsi="Courier New" w:cs="Courier New"/>
      <w:color w:val="000000"/>
      <w:sz w:val="28"/>
      <w:szCs w:val="28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1106B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106B"/>
    <w:rPr>
      <w:rFonts w:ascii="Courier New" w:hAnsi="Courier New" w:cs="Courier New"/>
      <w:color w:val="000000"/>
      <w:sz w:val="28"/>
      <w:szCs w:val="28"/>
      <w:lang w:val="en-US"/>
    </w:rPr>
  </w:style>
  <w:style w:type="character" w:styleId="Hyperlink">
    <w:name w:val="Hyperlink"/>
    <w:basedOn w:val="DefaultParagraphFont"/>
    <w:uiPriority w:val="99"/>
    <w:semiHidden/>
    <w:unhideWhenUsed/>
    <w:rsid w:val="0090115C"/>
    <w:rPr>
      <w:color w:val="0000FF"/>
      <w:u w:val="single"/>
    </w:rPr>
  </w:style>
  <w:style w:type="paragraph" w:customStyle="1" w:styleId="p1">
    <w:name w:val="p1"/>
    <w:basedOn w:val="Normal"/>
    <w:rsid w:val="0090115C"/>
    <w:pPr>
      <w:autoSpaceDE/>
      <w:autoSpaceDN/>
      <w:adjustRightInd/>
    </w:pPr>
    <w:rPr>
      <w:rFonts w:ascii="Calibri" w:hAnsi="Calibri" w:cs="Times New Roman"/>
      <w:color w:val="auto"/>
      <w:sz w:val="22"/>
      <w:szCs w:val="22"/>
      <w:lang w:val="de-DE" w:eastAsia="de-DE"/>
    </w:rPr>
  </w:style>
  <w:style w:type="character" w:customStyle="1" w:styleId="s2">
    <w:name w:val="s2"/>
    <w:basedOn w:val="DefaultParagraphFont"/>
    <w:rsid w:val="0090115C"/>
    <w:rPr>
      <w:rFonts w:ascii="Calibri" w:hAnsi="Calibri" w:hint="default"/>
      <w:sz w:val="16"/>
      <w:szCs w:val="16"/>
    </w:rPr>
  </w:style>
  <w:style w:type="character" w:customStyle="1" w:styleId="s1">
    <w:name w:val="s1"/>
    <w:basedOn w:val="DefaultParagraphFont"/>
    <w:rsid w:val="009011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00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1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930</Words>
  <Characters>5301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matthias ebner</dc:creator>
  <cp:keywords/>
  <dc:description/>
  <cp:lastModifiedBy>matthias ebner</cp:lastModifiedBy>
  <cp:revision>4</cp:revision>
  <cp:lastPrinted>2020-05-28T08:23:00Z</cp:lastPrinted>
  <dcterms:created xsi:type="dcterms:W3CDTF">2021-01-05T14:10:00Z</dcterms:created>
  <dcterms:modified xsi:type="dcterms:W3CDTF">2021-01-05T16:40:00Z</dcterms:modified>
</cp:coreProperties>
</file>