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Default Extension="ti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0AF9DD" w14:textId="77777777" w:rsidR="00121690" w:rsidRPr="00734865" w:rsidRDefault="00121690" w:rsidP="00121690">
      <w:pPr>
        <w:spacing w:line="480" w:lineRule="auto"/>
        <w:jc w:val="center"/>
        <w:rPr>
          <w:rFonts w:ascii="Times" w:hAnsi="Times"/>
          <w:b/>
          <w:color w:val="C00000"/>
          <w:sz w:val="32"/>
          <w:lang w:val="en-US"/>
        </w:rPr>
      </w:pPr>
      <w:r w:rsidRPr="00734865">
        <w:rPr>
          <w:rFonts w:ascii="Times" w:hAnsi="Times"/>
          <w:b/>
          <w:color w:val="C00000"/>
          <w:sz w:val="32"/>
          <w:lang w:val="en-US"/>
        </w:rPr>
        <w:t>Remote Ischemic Preconditioning Ameliorates Anthracycline-induced Cardiotoxicity and Preserves Mitochondrial Integrity</w:t>
      </w:r>
    </w:p>
    <w:p w14:paraId="2A7D8F47" w14:textId="4C02ECF3" w:rsidR="00121690" w:rsidRDefault="00121690">
      <w:pPr>
        <w:rPr>
          <w:rFonts w:ascii="Times New Roman" w:hAnsi="Times New Roman" w:cs="Times New Roman"/>
          <w:color w:val="C00000"/>
          <w:sz w:val="20"/>
          <w:lang w:val="en-US"/>
        </w:rPr>
      </w:pPr>
      <w:r>
        <w:rPr>
          <w:rFonts w:ascii="Times" w:hAnsi="Times" w:cs="Times"/>
          <w:b/>
          <w:sz w:val="24"/>
          <w:szCs w:val="24"/>
          <w:lang w:val="en-US"/>
        </w:rPr>
        <w:t>SUPPLEMENTARY MATERIAL</w:t>
      </w:r>
    </w:p>
    <w:p w14:paraId="2B5BD6F4" w14:textId="77777777" w:rsidR="00121690" w:rsidRDefault="00121690">
      <w:pPr>
        <w:rPr>
          <w:rFonts w:ascii="Times New Roman" w:hAnsi="Times New Roman" w:cs="Times New Roman"/>
          <w:color w:val="C00000"/>
          <w:sz w:val="20"/>
          <w:lang w:val="en-US"/>
        </w:rPr>
      </w:pPr>
    </w:p>
    <w:p w14:paraId="363A54B6" w14:textId="77777777" w:rsidR="00121690" w:rsidRDefault="00121690">
      <w:pPr>
        <w:rPr>
          <w:rFonts w:ascii="Times New Roman" w:hAnsi="Times New Roman" w:cs="Times New Roman"/>
          <w:color w:val="C00000"/>
          <w:sz w:val="20"/>
          <w:lang w:val="en-US"/>
        </w:rPr>
      </w:pPr>
    </w:p>
    <w:p w14:paraId="323A5C77" w14:textId="77777777" w:rsidR="00121690" w:rsidRDefault="00121690">
      <w:pPr>
        <w:rPr>
          <w:rFonts w:ascii="Times" w:hAnsi="Times" w:cs="Times"/>
          <w:b/>
          <w:sz w:val="24"/>
          <w:szCs w:val="24"/>
          <w:lang w:val="en-US"/>
        </w:rPr>
      </w:pPr>
    </w:p>
    <w:p w14:paraId="2CDE8A13" w14:textId="3D38EDAD" w:rsidR="00D82B15" w:rsidRDefault="00D82B15">
      <w:pPr>
        <w:rPr>
          <w:rFonts w:ascii="Times" w:hAnsi="Times" w:cs="Times"/>
          <w:b/>
          <w:sz w:val="24"/>
          <w:szCs w:val="24"/>
          <w:lang w:val="en-US"/>
        </w:rPr>
      </w:pPr>
      <w:r>
        <w:rPr>
          <w:rFonts w:ascii="Times" w:hAnsi="Times" w:cs="Times"/>
          <w:b/>
          <w:sz w:val="24"/>
          <w:szCs w:val="24"/>
          <w:lang w:val="en-US"/>
        </w:rPr>
        <w:br w:type="page"/>
      </w:r>
    </w:p>
    <w:p w14:paraId="0BC2FB6B" w14:textId="41F07210" w:rsidR="000471C6" w:rsidRDefault="00354B73" w:rsidP="00401A5A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 w:rsidRPr="00354B73">
        <w:rPr>
          <w:rFonts w:ascii="Times" w:hAnsi="Times" w:cs="Times"/>
          <w:b/>
          <w:sz w:val="24"/>
          <w:szCs w:val="24"/>
          <w:lang w:val="en-US"/>
        </w:rPr>
        <w:lastRenderedPageBreak/>
        <w:t>Supplementary Figure 1</w:t>
      </w:r>
      <w:r w:rsidRPr="00354B73">
        <w:rPr>
          <w:rFonts w:ascii="Times" w:hAnsi="Times" w:cs="Times"/>
          <w:sz w:val="24"/>
          <w:szCs w:val="24"/>
          <w:lang w:val="en-US"/>
        </w:rPr>
        <w:t>.</w:t>
      </w:r>
      <w:r>
        <w:rPr>
          <w:rFonts w:ascii="Times" w:hAnsi="Times" w:cs="Times"/>
          <w:sz w:val="24"/>
          <w:szCs w:val="24"/>
          <w:lang w:val="en-US"/>
        </w:rPr>
        <w:t xml:space="preserve"> LV mass and volumes from experiment 1. </w:t>
      </w:r>
    </w:p>
    <w:p w14:paraId="5233E8F3" w14:textId="4054A289" w:rsidR="00354B73" w:rsidRDefault="00656148" w:rsidP="00401A5A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noProof/>
          <w:lang w:eastAsia="es-ES"/>
        </w:rPr>
        <w:drawing>
          <wp:anchor distT="0" distB="0" distL="114300" distR="114300" simplePos="0" relativeHeight="251662336" behindDoc="0" locked="0" layoutInCell="1" allowOverlap="1" wp14:anchorId="1C33FF33" wp14:editId="347757F5">
            <wp:simplePos x="0" y="0"/>
            <wp:positionH relativeFrom="page">
              <wp:posOffset>351155</wp:posOffset>
            </wp:positionH>
            <wp:positionV relativeFrom="paragraph">
              <wp:posOffset>902335</wp:posOffset>
            </wp:positionV>
            <wp:extent cx="6891655" cy="1814195"/>
            <wp:effectExtent l="0" t="0" r="4445" b="0"/>
            <wp:wrapSquare wrapText="bothSides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upp1.t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91655" cy="1814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4B73">
        <w:rPr>
          <w:rFonts w:ascii="Times" w:hAnsi="Times" w:cs="Times"/>
          <w:sz w:val="24"/>
          <w:szCs w:val="24"/>
          <w:lang w:val="en-US"/>
        </w:rPr>
        <w:t>Data by group, over time and at 16 weeks for (A) LV mass indexed, (B) LVEDV indexed and (C) LVESV indexed.</w:t>
      </w:r>
    </w:p>
    <w:p w14:paraId="2C7C8B25" w14:textId="77777777" w:rsidR="00605845" w:rsidRDefault="00605845">
      <w:pPr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br w:type="page"/>
      </w:r>
    </w:p>
    <w:p w14:paraId="40F2CE40" w14:textId="77777777" w:rsidR="00C4056B" w:rsidRDefault="00C4056B" w:rsidP="00C4056B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b/>
          <w:sz w:val="24"/>
          <w:szCs w:val="24"/>
          <w:lang w:val="en-US"/>
        </w:rPr>
        <w:lastRenderedPageBreak/>
        <w:t>Supplementary Figure 2</w:t>
      </w:r>
      <w:r w:rsidRPr="00354B73">
        <w:rPr>
          <w:rFonts w:ascii="Times" w:hAnsi="Times" w:cs="Times"/>
          <w:sz w:val="24"/>
          <w:szCs w:val="24"/>
          <w:lang w:val="en-US"/>
        </w:rPr>
        <w:t>.</w:t>
      </w:r>
      <w:r>
        <w:rPr>
          <w:rFonts w:ascii="Times" w:hAnsi="Times" w:cs="Times"/>
          <w:sz w:val="24"/>
          <w:szCs w:val="24"/>
          <w:lang w:val="en-US"/>
        </w:rPr>
        <w:t xml:space="preserve"> Cardiac contractility (wall thickening) at the end of th</w:t>
      </w:r>
      <w:r w:rsidR="009A4405">
        <w:rPr>
          <w:rFonts w:ascii="Times" w:hAnsi="Times" w:cs="Times"/>
          <w:sz w:val="24"/>
          <w:szCs w:val="24"/>
          <w:lang w:val="en-US"/>
        </w:rPr>
        <w:t>e study for both groups in the remote a</w:t>
      </w:r>
      <w:r>
        <w:rPr>
          <w:rFonts w:ascii="Times" w:hAnsi="Times" w:cs="Times"/>
          <w:sz w:val="24"/>
          <w:szCs w:val="24"/>
          <w:lang w:val="en-US"/>
        </w:rPr>
        <w:t>rea.</w:t>
      </w:r>
    </w:p>
    <w:p w14:paraId="3DDF55DA" w14:textId="77777777" w:rsidR="000471C6" w:rsidRDefault="000471C6" w:rsidP="00C4056B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noProof/>
          <w:sz w:val="24"/>
          <w:szCs w:val="24"/>
          <w:lang w:eastAsia="es-ES"/>
        </w:rPr>
        <w:drawing>
          <wp:inline distT="0" distB="0" distL="0" distR="0" wp14:anchorId="417A114F" wp14:editId="02F6DB4B">
            <wp:extent cx="4572000" cy="640080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supp2_REMcontractility.tif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D558D" w14:textId="77777777" w:rsidR="00C4056B" w:rsidRDefault="00C4056B" w:rsidP="00285E95">
      <w:pPr>
        <w:rPr>
          <w:rFonts w:ascii="Times" w:hAnsi="Times" w:cs="Times"/>
          <w:sz w:val="24"/>
          <w:szCs w:val="24"/>
          <w:lang w:val="en-US"/>
        </w:rPr>
      </w:pPr>
    </w:p>
    <w:p w14:paraId="1AF7D565" w14:textId="77777777" w:rsidR="00C4056B" w:rsidRDefault="00C4056B" w:rsidP="00401A5A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30C24EFF" w14:textId="77777777" w:rsidR="003F76C6" w:rsidRDefault="003F76C6">
      <w:pPr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br w:type="page"/>
      </w:r>
    </w:p>
    <w:p w14:paraId="295D552B" w14:textId="77777777" w:rsidR="003F76C6" w:rsidRDefault="00B6217C" w:rsidP="003F76C6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68480" behindDoc="0" locked="0" layoutInCell="1" allowOverlap="1" wp14:anchorId="508A096F" wp14:editId="7E60D46F">
            <wp:simplePos x="0" y="0"/>
            <wp:positionH relativeFrom="margin">
              <wp:posOffset>-480060</wp:posOffset>
            </wp:positionH>
            <wp:positionV relativeFrom="paragraph">
              <wp:posOffset>662305</wp:posOffset>
            </wp:positionV>
            <wp:extent cx="6381750" cy="5653405"/>
            <wp:effectExtent l="0" t="0" r="0" b="444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supp4_table.t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0" cy="5653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76C6">
        <w:rPr>
          <w:rFonts w:ascii="Times" w:hAnsi="Times" w:cs="Times"/>
          <w:b/>
          <w:sz w:val="24"/>
          <w:szCs w:val="24"/>
          <w:lang w:val="en-US"/>
        </w:rPr>
        <w:t>Supplementary Table 1</w:t>
      </w:r>
      <w:r w:rsidR="003F76C6" w:rsidRPr="00354B73">
        <w:rPr>
          <w:rFonts w:ascii="Times" w:hAnsi="Times" w:cs="Times"/>
          <w:sz w:val="24"/>
          <w:szCs w:val="24"/>
          <w:lang w:val="en-US"/>
        </w:rPr>
        <w:t>.</w:t>
      </w:r>
      <w:r w:rsidR="003F76C6">
        <w:rPr>
          <w:rFonts w:ascii="Times" w:hAnsi="Times" w:cs="Times"/>
          <w:sz w:val="24"/>
          <w:szCs w:val="24"/>
          <w:lang w:val="en-US"/>
        </w:rPr>
        <w:t xml:space="preserve"> CMR in-vivo data of the whole </w:t>
      </w:r>
      <w:r w:rsidR="00F21279">
        <w:rPr>
          <w:rFonts w:ascii="Times" w:hAnsi="Times" w:cs="Times"/>
          <w:sz w:val="24"/>
          <w:szCs w:val="24"/>
          <w:lang w:val="en-US"/>
        </w:rPr>
        <w:t>study</w:t>
      </w:r>
      <w:r w:rsidR="003F76C6">
        <w:rPr>
          <w:rFonts w:ascii="Times" w:hAnsi="Times" w:cs="Times"/>
          <w:sz w:val="24"/>
          <w:szCs w:val="24"/>
          <w:lang w:val="en-US"/>
        </w:rPr>
        <w:t xml:space="preserve"> 1 for all the time points and all the groups.</w:t>
      </w:r>
    </w:p>
    <w:p w14:paraId="7C9925DD" w14:textId="77777777" w:rsidR="00F21279" w:rsidRDefault="00F21279">
      <w:pPr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br w:type="page"/>
      </w:r>
    </w:p>
    <w:p w14:paraId="1A4E87EC" w14:textId="4A387774" w:rsidR="00F21279" w:rsidRDefault="00287F5F" w:rsidP="00F21279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9504" behindDoc="0" locked="0" layoutInCell="1" allowOverlap="1" wp14:anchorId="000AFA47" wp14:editId="23701413">
            <wp:simplePos x="0" y="0"/>
            <wp:positionH relativeFrom="margin">
              <wp:posOffset>-499110</wp:posOffset>
            </wp:positionH>
            <wp:positionV relativeFrom="paragraph">
              <wp:posOffset>1156970</wp:posOffset>
            </wp:positionV>
            <wp:extent cx="6529705" cy="3895725"/>
            <wp:effectExtent l="0" t="0" r="4445" b="9525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9705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1279">
        <w:rPr>
          <w:rFonts w:ascii="Times" w:hAnsi="Times" w:cs="Times"/>
          <w:b/>
          <w:sz w:val="24"/>
          <w:szCs w:val="24"/>
          <w:lang w:val="en-US"/>
        </w:rPr>
        <w:t>Supplementary Table 2</w:t>
      </w:r>
      <w:r w:rsidR="00F21279" w:rsidRPr="00354B73">
        <w:rPr>
          <w:rFonts w:ascii="Times" w:hAnsi="Times" w:cs="Times"/>
          <w:sz w:val="24"/>
          <w:szCs w:val="24"/>
          <w:lang w:val="en-US"/>
        </w:rPr>
        <w:t>.</w:t>
      </w:r>
      <w:r w:rsidR="00F21279">
        <w:rPr>
          <w:rFonts w:ascii="Times" w:hAnsi="Times" w:cs="Times"/>
          <w:sz w:val="24"/>
          <w:szCs w:val="24"/>
          <w:lang w:val="en-US"/>
        </w:rPr>
        <w:t xml:space="preserve"> CMR in-vivo data of the whole study 2 for all the time points and all the groups (healthy controls at 0 and 6 weeks from study 1 are also included for comparison).</w:t>
      </w:r>
    </w:p>
    <w:p w14:paraId="2AB05D69" w14:textId="4BDF226C" w:rsidR="00287F5F" w:rsidRDefault="00287F5F" w:rsidP="00F21279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51C12D4B" w14:textId="29BA302C" w:rsidR="00656148" w:rsidRDefault="00656148">
      <w:pPr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br w:type="page"/>
      </w:r>
    </w:p>
    <w:p w14:paraId="66D6C875" w14:textId="7DFDD29A" w:rsidR="00B6217C" w:rsidRDefault="00656148" w:rsidP="00F21279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r w:rsidRPr="00121690">
        <w:rPr>
          <w:rFonts w:ascii="Times" w:hAnsi="Times" w:cs="Times"/>
          <w:b/>
          <w:sz w:val="24"/>
          <w:szCs w:val="24"/>
          <w:lang w:val="en-US"/>
        </w:rPr>
        <w:lastRenderedPageBreak/>
        <w:t xml:space="preserve">Supplementary Figure </w:t>
      </w:r>
      <w:r w:rsidR="009366F3" w:rsidRPr="009366F3">
        <w:rPr>
          <w:rFonts w:ascii="Times" w:hAnsi="Times" w:cs="Times"/>
          <w:b/>
          <w:sz w:val="24"/>
          <w:szCs w:val="24"/>
          <w:lang w:val="en-US"/>
        </w:rPr>
        <w:t>3</w:t>
      </w:r>
      <w:r>
        <w:rPr>
          <w:rFonts w:ascii="Times" w:hAnsi="Times" w:cs="Times"/>
          <w:sz w:val="24"/>
          <w:szCs w:val="24"/>
          <w:lang w:val="en-US"/>
        </w:rPr>
        <w:t xml:space="preserve">. Unedited WB gels. </w:t>
      </w:r>
    </w:p>
    <w:p w14:paraId="7AF377CD" w14:textId="41296AB9" w:rsidR="00B6217C" w:rsidRDefault="00656148" w:rsidP="00F21279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  <w:bookmarkStart w:id="0" w:name="_GoBack"/>
      <w:r>
        <w:rPr>
          <w:rFonts w:ascii="Times" w:hAnsi="Times" w:cs="Times"/>
          <w:noProof/>
          <w:sz w:val="24"/>
          <w:szCs w:val="24"/>
          <w:lang w:eastAsia="es-ES"/>
        </w:rPr>
        <w:drawing>
          <wp:anchor distT="0" distB="0" distL="114300" distR="114300" simplePos="0" relativeHeight="251670528" behindDoc="0" locked="0" layoutInCell="1" allowOverlap="1" wp14:anchorId="3C763647" wp14:editId="7D2E6B6C">
            <wp:simplePos x="0" y="0"/>
            <wp:positionH relativeFrom="margin">
              <wp:posOffset>-410210</wp:posOffset>
            </wp:positionH>
            <wp:positionV relativeFrom="paragraph">
              <wp:posOffset>452755</wp:posOffset>
            </wp:positionV>
            <wp:extent cx="6166485" cy="4552950"/>
            <wp:effectExtent l="0" t="0" r="571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supp3.tif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6485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14:paraId="6947E057" w14:textId="77777777" w:rsidR="00F21279" w:rsidRDefault="00F21279" w:rsidP="003F76C6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057666F7" w14:textId="77777777" w:rsidR="00F21279" w:rsidRDefault="00F21279" w:rsidP="003F76C6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2A58C0C9" w14:textId="77777777" w:rsidR="00F21279" w:rsidRDefault="00F21279" w:rsidP="003F76C6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29E8BB8F" w14:textId="77777777" w:rsidR="00F21279" w:rsidRDefault="00F21279" w:rsidP="003F76C6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60701CF0" w14:textId="77777777" w:rsidR="003F76C6" w:rsidRDefault="003F76C6" w:rsidP="00401A5A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481301AC" w14:textId="77777777" w:rsidR="00C4056B" w:rsidRPr="00354B73" w:rsidRDefault="00C4056B" w:rsidP="00401A5A">
      <w:pPr>
        <w:spacing w:line="480" w:lineRule="auto"/>
        <w:jc w:val="both"/>
        <w:rPr>
          <w:rFonts w:ascii="Times" w:hAnsi="Times" w:cs="Times"/>
          <w:sz w:val="24"/>
          <w:szCs w:val="24"/>
          <w:lang w:val="en-US"/>
        </w:rPr>
      </w:pPr>
    </w:p>
    <w:sectPr w:rsidR="00C4056B" w:rsidRPr="00354B73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2182CF" w14:textId="77777777" w:rsidR="000034D0" w:rsidRDefault="000034D0" w:rsidP="00121690">
      <w:pPr>
        <w:spacing w:after="0" w:line="240" w:lineRule="auto"/>
      </w:pPr>
      <w:r>
        <w:separator/>
      </w:r>
    </w:p>
  </w:endnote>
  <w:endnote w:type="continuationSeparator" w:id="0">
    <w:p w14:paraId="5E458125" w14:textId="77777777" w:rsidR="000034D0" w:rsidRDefault="000034D0" w:rsidP="00121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8F158B" w14:textId="77777777" w:rsidR="000034D0" w:rsidRDefault="000034D0" w:rsidP="00121690">
      <w:pPr>
        <w:spacing w:after="0" w:line="240" w:lineRule="auto"/>
      </w:pPr>
      <w:r>
        <w:separator/>
      </w:r>
    </w:p>
  </w:footnote>
  <w:footnote w:type="continuationSeparator" w:id="0">
    <w:p w14:paraId="60B4CB67" w14:textId="77777777" w:rsidR="000034D0" w:rsidRDefault="000034D0" w:rsidP="00121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E9549C" w14:textId="7D2E93EB" w:rsidR="00121690" w:rsidRPr="00121690" w:rsidRDefault="00121690" w:rsidP="00121690">
    <w:pPr>
      <w:rPr>
        <w:rFonts w:ascii="Times" w:hAnsi="Times" w:cs="Times"/>
        <w:b/>
        <w:sz w:val="24"/>
        <w:szCs w:val="24"/>
      </w:rPr>
    </w:pPr>
    <w:r w:rsidRPr="00121690">
      <w:rPr>
        <w:rFonts w:ascii="Times New Roman" w:hAnsi="Times New Roman" w:cs="Times New Roman"/>
        <w:b/>
        <w:color w:val="C00000"/>
        <w:sz w:val="20"/>
      </w:rPr>
      <w:t>CVR-2020-</w:t>
    </w:r>
    <w:r w:rsidRPr="00121690">
      <w:rPr>
        <w:rFonts w:ascii="Times New Roman" w:hAnsi="Times New Roman" w:cs="Times New Roman"/>
        <w:b/>
        <w:color w:val="C00000"/>
        <w:sz w:val="20"/>
      </w:rPr>
      <w:t>0505</w:t>
    </w:r>
    <w:r w:rsidRPr="00121690">
      <w:rPr>
        <w:rFonts w:ascii="Times New Roman" w:hAnsi="Times New Roman" w:cs="Times New Roman"/>
        <w:color w:val="C00000"/>
        <w:sz w:val="20"/>
      </w:rPr>
      <w:t xml:space="preserve"> </w:t>
    </w:r>
    <w:r w:rsidRPr="00121690">
      <w:rPr>
        <w:rFonts w:ascii="Times New Roman" w:hAnsi="Times New Roman" w:cs="Times New Roman"/>
        <w:color w:val="C00000"/>
        <w:sz w:val="20"/>
      </w:rPr>
      <w:tab/>
    </w:r>
    <w:r>
      <w:rPr>
        <w:rFonts w:ascii="Times New Roman" w:hAnsi="Times New Roman" w:cs="Times New Roman"/>
        <w:color w:val="C00000"/>
        <w:sz w:val="20"/>
      </w:rPr>
      <w:tab/>
    </w:r>
    <w:r>
      <w:rPr>
        <w:rFonts w:ascii="Times New Roman" w:hAnsi="Times New Roman" w:cs="Times New Roman"/>
        <w:color w:val="C00000"/>
        <w:sz w:val="20"/>
      </w:rPr>
      <w:tab/>
    </w:r>
    <w:proofErr w:type="spellStart"/>
    <w:r w:rsidRPr="00121690">
      <w:rPr>
        <w:rFonts w:ascii="Times New Roman" w:hAnsi="Times New Roman" w:cs="Times New Roman"/>
        <w:sz w:val="20"/>
      </w:rPr>
      <w:t>Galan</w:t>
    </w:r>
    <w:proofErr w:type="spellEnd"/>
    <w:r w:rsidRPr="00121690">
      <w:rPr>
        <w:rFonts w:ascii="Times New Roman" w:hAnsi="Times New Roman" w:cs="Times New Roman"/>
        <w:sz w:val="20"/>
      </w:rPr>
      <w:t>-Arriola et al.</w:t>
    </w:r>
    <w:r>
      <w:rPr>
        <w:rFonts w:ascii="Times New Roman" w:hAnsi="Times New Roman" w:cs="Times New Roman"/>
        <w:sz w:val="20"/>
      </w:rPr>
      <w:tab/>
    </w:r>
    <w:r>
      <w:rPr>
        <w:rFonts w:ascii="Times New Roman" w:hAnsi="Times New Roman" w:cs="Times New Roman"/>
        <w:sz w:val="20"/>
      </w:rPr>
      <w:tab/>
    </w:r>
    <w:r>
      <w:rPr>
        <w:rFonts w:ascii="Times New Roman" w:hAnsi="Times New Roman" w:cs="Times New Roman"/>
        <w:sz w:val="20"/>
      </w:rPr>
      <w:tab/>
    </w:r>
    <w:proofErr w:type="spellStart"/>
    <w:r w:rsidRPr="00121690">
      <w:rPr>
        <w:rFonts w:ascii="Times New Roman" w:hAnsi="Times New Roman" w:cs="Times New Roman"/>
        <w:b/>
        <w:color w:val="C00000"/>
        <w:sz w:val="20"/>
      </w:rPr>
      <w:t>Suppl</w:t>
    </w:r>
    <w:proofErr w:type="spellEnd"/>
    <w:r w:rsidRPr="00121690">
      <w:rPr>
        <w:rFonts w:ascii="Times New Roman" w:hAnsi="Times New Roman" w:cs="Times New Roman"/>
        <w:b/>
        <w:color w:val="C00000"/>
        <w:sz w:val="20"/>
      </w:rPr>
      <w:t xml:space="preserve"> Material</w:t>
    </w:r>
    <w:r w:rsidRPr="00121690">
      <w:rPr>
        <w:rFonts w:ascii="Times New Roman" w:hAnsi="Times New Roman" w:cs="Times New Roman"/>
        <w:color w:val="C00000"/>
        <w:sz w:val="20"/>
      </w:rPr>
      <w:t xml:space="preserve">             </w:t>
    </w:r>
  </w:p>
  <w:p w14:paraId="66D9E787" w14:textId="40C668DA" w:rsidR="00121690" w:rsidRPr="00121690" w:rsidRDefault="00121690" w:rsidP="00121690">
    <w:pPr>
      <w:pStyle w:val="Encabezado"/>
      <w:rPr>
        <w:rFonts w:ascii="Times New Roman" w:hAnsi="Times New Roman" w:cs="Times New Roman"/>
        <w:color w:val="C00000"/>
        <w:sz w:val="20"/>
      </w:rPr>
    </w:pPr>
    <w:r w:rsidRPr="00121690">
      <w:rPr>
        <w:rFonts w:ascii="Times New Roman" w:hAnsi="Times New Roman" w:cs="Times New Roman"/>
        <w:color w:val="C00000"/>
        <w:sz w:val="20"/>
      </w:rPr>
      <w:t xml:space="preserve">                             </w:t>
    </w:r>
  </w:p>
  <w:p w14:paraId="0BB7FC80" w14:textId="77777777" w:rsidR="00121690" w:rsidRPr="00121690" w:rsidRDefault="0012169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es-ES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A5A"/>
    <w:rsid w:val="000034D0"/>
    <w:rsid w:val="000471C6"/>
    <w:rsid w:val="00121690"/>
    <w:rsid w:val="00174367"/>
    <w:rsid w:val="00285E95"/>
    <w:rsid w:val="00287F5F"/>
    <w:rsid w:val="00354B73"/>
    <w:rsid w:val="00396B42"/>
    <w:rsid w:val="003F76C6"/>
    <w:rsid w:val="00401A5A"/>
    <w:rsid w:val="00432BA8"/>
    <w:rsid w:val="00543933"/>
    <w:rsid w:val="00605845"/>
    <w:rsid w:val="00656148"/>
    <w:rsid w:val="006C765D"/>
    <w:rsid w:val="00725819"/>
    <w:rsid w:val="007378EC"/>
    <w:rsid w:val="0078740D"/>
    <w:rsid w:val="009366F3"/>
    <w:rsid w:val="009A4405"/>
    <w:rsid w:val="009B501B"/>
    <w:rsid w:val="00AF5D26"/>
    <w:rsid w:val="00B6217C"/>
    <w:rsid w:val="00B94304"/>
    <w:rsid w:val="00C107F5"/>
    <w:rsid w:val="00C4056B"/>
    <w:rsid w:val="00D45060"/>
    <w:rsid w:val="00D82B15"/>
    <w:rsid w:val="00E7010A"/>
    <w:rsid w:val="00F2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CBAF7"/>
  <w15:chartTrackingRefBased/>
  <w15:docId w15:val="{5BFC50FC-4AF0-4459-A7B3-F69B7604F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378E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378E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378E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378E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378E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78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78EC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1216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1690"/>
  </w:style>
  <w:style w:type="paragraph" w:styleId="Piedepgina">
    <w:name w:val="footer"/>
    <w:basedOn w:val="Normal"/>
    <w:link w:val="PiedepginaCar"/>
    <w:uiPriority w:val="99"/>
    <w:unhideWhenUsed/>
    <w:rsid w:val="001216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16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tif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123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Galán Arriola</dc:creator>
  <cp:keywords/>
  <dc:description/>
  <cp:lastModifiedBy>Borja Ibáñez</cp:lastModifiedBy>
  <cp:revision>3</cp:revision>
  <dcterms:created xsi:type="dcterms:W3CDTF">2020-06-02T22:34:00Z</dcterms:created>
  <dcterms:modified xsi:type="dcterms:W3CDTF">2020-06-02T22:38:00Z</dcterms:modified>
</cp:coreProperties>
</file>