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9B41D0" w14:textId="28D790B9" w:rsidR="00565333" w:rsidRDefault="00565333" w:rsidP="00565333">
      <w:pPr>
        <w:spacing w:before="1" w:line="360" w:lineRule="auto"/>
        <w:ind w:right="120"/>
        <w:jc w:val="both"/>
        <w:rPr>
          <w:i/>
        </w:rPr>
      </w:pPr>
      <w:r>
        <w:rPr>
          <w:b/>
        </w:rPr>
        <w:t xml:space="preserve">Supplementary Figure 1 </w:t>
      </w:r>
      <w:r>
        <w:rPr>
          <w:i/>
        </w:rPr>
        <w:t>LPS induced cytokine responses are TLR2 independent but FSL-1 and Pam3csk4 induced cyto</w:t>
      </w:r>
      <w:r w:rsidR="00F81707">
        <w:rPr>
          <w:i/>
        </w:rPr>
        <w:t>k</w:t>
      </w:r>
      <w:r>
        <w:rPr>
          <w:i/>
        </w:rPr>
        <w:t>ine responses are TLR2 dependent in BMDMs.</w:t>
      </w:r>
    </w:p>
    <w:p w14:paraId="44389BA8" w14:textId="77777777" w:rsidR="00565333" w:rsidRDefault="00565333" w:rsidP="00565333">
      <w:pPr>
        <w:spacing w:before="195" w:line="360" w:lineRule="auto"/>
        <w:ind w:right="114"/>
        <w:jc w:val="both"/>
      </w:pPr>
      <w:r>
        <w:t>TNF-α cytokine secretion (</w:t>
      </w:r>
      <w:proofErr w:type="spellStart"/>
      <w:r>
        <w:t>pg</w:t>
      </w:r>
      <w:proofErr w:type="spellEnd"/>
      <w:r>
        <w:t>/ml) was quantified by ELISA from WT and TLR2</w:t>
      </w:r>
      <w:r>
        <w:rPr>
          <w:vertAlign w:val="superscript"/>
        </w:rPr>
        <w:t>-/-</w:t>
      </w:r>
      <w:r>
        <w:t xml:space="preserve"> BMDMs that were non treated (NT) or treated with TLR1/2 agonist (Pam3csk4), TLR2/6 agonist (FSL-1) and TLR4 agonist (LPS) for 20 hours.. Data shown are the average of triplicate wells of three independent experiments</w:t>
      </w:r>
      <w:r>
        <w:rPr>
          <w:spacing w:val="-6"/>
        </w:rPr>
        <w:t xml:space="preserve"> </w:t>
      </w:r>
      <w:r>
        <w:t>(n=3). Data are the average of three independent experiments (n=3). Statistical analysis was performed with 2 tailed student t test in GraphPad Prism, p&lt;0.05 (denoted by *) was considered statistically significant. ns- nonsignificant</w:t>
      </w:r>
    </w:p>
    <w:p w14:paraId="4AB866BB" w14:textId="77777777" w:rsidR="00565333" w:rsidRDefault="00565333" w:rsidP="00565333">
      <w:pPr>
        <w:spacing w:line="360" w:lineRule="auto"/>
        <w:jc w:val="both"/>
      </w:pPr>
    </w:p>
    <w:p w14:paraId="1F49E096" w14:textId="77777777" w:rsidR="00565333" w:rsidRDefault="00565333" w:rsidP="00565333">
      <w:pPr>
        <w:spacing w:line="360" w:lineRule="auto"/>
        <w:jc w:val="both"/>
        <w:rPr>
          <w:i/>
        </w:rPr>
      </w:pPr>
      <w:r>
        <w:rPr>
          <w:b/>
        </w:rPr>
        <w:t xml:space="preserve">Supplementary Figure 2 </w:t>
      </w:r>
      <w:r>
        <w:rPr>
          <w:i/>
        </w:rPr>
        <w:t xml:space="preserve">STRING protein-protein interaction database identifies co-expression and functional association of </w:t>
      </w:r>
      <w:proofErr w:type="spellStart"/>
      <w:r>
        <w:rPr>
          <w:i/>
        </w:rPr>
        <w:t>Mincle</w:t>
      </w:r>
      <w:proofErr w:type="spellEnd"/>
      <w:r>
        <w:rPr>
          <w:i/>
        </w:rPr>
        <w:t xml:space="preserve"> protein family members with TLR2 in mouse and humans.</w:t>
      </w:r>
    </w:p>
    <w:p w14:paraId="7039AD5C" w14:textId="77777777" w:rsidR="00565333" w:rsidRDefault="00565333" w:rsidP="00565333">
      <w:pPr>
        <w:spacing w:line="360" w:lineRule="auto"/>
        <w:jc w:val="both"/>
        <w:rPr>
          <w:iCs/>
        </w:rPr>
      </w:pPr>
      <w:r>
        <w:rPr>
          <w:iCs/>
        </w:rPr>
        <w:t>STRING database was searched for proteins that are co-expressed or functionally associated with Clec4e (</w:t>
      </w:r>
      <w:proofErr w:type="spellStart"/>
      <w:r>
        <w:rPr>
          <w:iCs/>
        </w:rPr>
        <w:t>Mincle</w:t>
      </w:r>
      <w:proofErr w:type="spellEnd"/>
      <w:r>
        <w:rPr>
          <w:iCs/>
        </w:rPr>
        <w:t>) at score&gt;0.4 in mouse and humans. Score defines the approximate confidence, on a scale of zero to one, of the association being true, given all the available evidence.</w:t>
      </w:r>
      <w:r>
        <w:rPr>
          <w:iCs/>
        </w:rPr>
        <w:fldChar w:fldCharType="begin"/>
      </w:r>
      <w:r>
        <w:rPr>
          <w:iCs/>
        </w:rPr>
        <w:instrText xml:space="preserve"> ADDIN </w:instrText>
      </w:r>
      <w:r>
        <w:rPr>
          <w:iCs/>
        </w:rPr>
        <w:fldChar w:fldCharType="end"/>
      </w:r>
    </w:p>
    <w:p w14:paraId="6FBC9E93" w14:textId="77777777" w:rsidR="004972B1" w:rsidRDefault="004972B1"/>
    <w:sectPr w:rsidR="004972B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5333"/>
    <w:rsid w:val="004972B1"/>
    <w:rsid w:val="00565333"/>
    <w:rsid w:val="005E1701"/>
    <w:rsid w:val="00992B7D"/>
    <w:rsid w:val="00F81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88E65A"/>
  <w15:docId w15:val="{3F8BE5AD-AED7-E248-9E7D-514E00187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533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8279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172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Navaneetha Krishnan M.</dc:creator>
  <cp:lastModifiedBy>Nally, Ken</cp:lastModifiedBy>
  <cp:revision>2</cp:revision>
  <dcterms:created xsi:type="dcterms:W3CDTF">2021-03-08T09:22:00Z</dcterms:created>
  <dcterms:modified xsi:type="dcterms:W3CDTF">2021-03-08T09:22:00Z</dcterms:modified>
</cp:coreProperties>
</file>