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5989" w:rsidRDefault="00485989">
      <w:pPr>
        <w:rPr>
          <w:noProof/>
          <w:lang w:eastAsia="es-ES"/>
        </w:rPr>
      </w:pPr>
    </w:p>
    <w:p w:rsidR="00485989" w:rsidRDefault="00485989">
      <w:pPr>
        <w:rPr>
          <w:noProof/>
          <w:lang w:eastAsia="es-ES"/>
        </w:rPr>
      </w:pPr>
    </w:p>
    <w:p w:rsidR="00485989" w:rsidRDefault="00485989">
      <w:pPr>
        <w:rPr>
          <w:noProof/>
          <w:lang w:eastAsia="es-ES"/>
        </w:rPr>
      </w:pPr>
    </w:p>
    <w:p w:rsidR="00896121" w:rsidRDefault="005A6A1B">
      <w:r w:rsidRPr="005A6A1B">
        <w:rPr>
          <w:noProof/>
          <w:lang w:eastAsia="es-ES"/>
        </w:rPr>
        <w:drawing>
          <wp:inline distT="0" distB="0" distL="0" distR="0" wp14:anchorId="32216BAD" wp14:editId="13C9860C">
            <wp:extent cx="5400040" cy="883920"/>
            <wp:effectExtent l="0" t="0" r="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4"/>
                    <a:srcRect l="729" t="15556" r="4479" b="56852"/>
                    <a:stretch/>
                  </pic:blipFill>
                  <pic:spPr>
                    <a:xfrm>
                      <a:off x="0" y="0"/>
                      <a:ext cx="5400040" cy="883920"/>
                    </a:xfrm>
                    <a:prstGeom prst="rect">
                      <a:avLst/>
                    </a:prstGeom>
                  </pic:spPr>
                </pic:pic>
              </a:graphicData>
            </a:graphic>
          </wp:inline>
        </w:drawing>
      </w:r>
      <w:r w:rsidR="00896121">
        <w:t xml:space="preserve"> </w:t>
      </w:r>
    </w:p>
    <w:p w:rsidR="002A5D1A" w:rsidRDefault="002A5D1A" w:rsidP="002A5D1A">
      <w:pPr>
        <w:rPr>
          <w:rFonts w:ascii="Verdana" w:hAnsi="Verdana"/>
          <w:b/>
          <w:sz w:val="28"/>
          <w:szCs w:val="28"/>
        </w:rPr>
      </w:pPr>
    </w:p>
    <w:p w:rsidR="002A5D1A" w:rsidRDefault="002A5D1A" w:rsidP="002A5D1A">
      <w:pPr>
        <w:rPr>
          <w:rFonts w:ascii="Verdana" w:hAnsi="Verdana"/>
          <w:b/>
          <w:sz w:val="28"/>
          <w:szCs w:val="28"/>
        </w:rPr>
      </w:pPr>
    </w:p>
    <w:p w:rsidR="00901192" w:rsidRPr="00901192" w:rsidRDefault="00901192" w:rsidP="00901192">
      <w:pPr>
        <w:shd w:val="clear" w:color="auto" w:fill="FFFFFF"/>
        <w:spacing w:before="300" w:after="150" w:line="240" w:lineRule="auto"/>
        <w:jc w:val="both"/>
        <w:textAlignment w:val="baseline"/>
        <w:outlineLvl w:val="0"/>
        <w:rPr>
          <w:rFonts w:ascii="Verdana" w:eastAsia="Times New Roman" w:hAnsi="Verdana" w:cs="Times New Roman"/>
          <w:b/>
          <w:kern w:val="36"/>
          <w:sz w:val="28"/>
          <w:szCs w:val="28"/>
          <w:lang w:eastAsia="es-ES"/>
        </w:rPr>
      </w:pPr>
      <w:bookmarkStart w:id="0" w:name="_GoBack"/>
      <w:r w:rsidRPr="00901192">
        <w:rPr>
          <w:rFonts w:ascii="Verdana" w:eastAsia="Times New Roman" w:hAnsi="Verdana" w:cs="Times New Roman"/>
          <w:b/>
          <w:kern w:val="36"/>
          <w:sz w:val="28"/>
          <w:szCs w:val="28"/>
          <w:lang w:eastAsia="es-ES"/>
        </w:rPr>
        <w:t>Una investigación logra nuevo conocimiento en torno al manejo de personas coinfectadas con los virus de la hepatitis C y el VIH</w:t>
      </w:r>
    </w:p>
    <w:bookmarkEnd w:id="0"/>
    <w:p w:rsidR="002A5D1A" w:rsidRPr="00901192" w:rsidRDefault="00901192" w:rsidP="002A5D1A">
      <w:pPr>
        <w:rPr>
          <w:rFonts w:ascii="Verdana" w:hAnsi="Verdana"/>
          <w:sz w:val="24"/>
          <w:szCs w:val="24"/>
        </w:rPr>
      </w:pPr>
      <w:r w:rsidRPr="00901192">
        <w:rPr>
          <w:rFonts w:ascii="Verdana" w:hAnsi="Verdana"/>
          <w:color w:val="333333"/>
          <w:sz w:val="24"/>
          <w:szCs w:val="24"/>
          <w:shd w:val="clear" w:color="auto" w:fill="FFFFFF"/>
        </w:rPr>
        <w:t>28/07/2022</w:t>
      </w:r>
    </w:p>
    <w:p w:rsidR="002A5D1A" w:rsidRDefault="002A5D1A" w:rsidP="002A5D1A">
      <w:pPr>
        <w:rPr>
          <w:rFonts w:ascii="Verdana" w:hAnsi="Verdana"/>
          <w:sz w:val="24"/>
          <w:szCs w:val="24"/>
        </w:rPr>
      </w:pPr>
    </w:p>
    <w:p w:rsidR="00901192" w:rsidRPr="00901192" w:rsidRDefault="00901192" w:rsidP="002A5D1A">
      <w:pPr>
        <w:rPr>
          <w:rFonts w:ascii="Verdana" w:hAnsi="Verdana"/>
          <w:sz w:val="24"/>
          <w:szCs w:val="24"/>
        </w:rPr>
      </w:pPr>
    </w:p>
    <w:p w:rsidR="00901192" w:rsidRDefault="00901192" w:rsidP="00901192">
      <w:pPr>
        <w:pStyle w:val="NormalWeb"/>
        <w:shd w:val="clear" w:color="auto" w:fill="FFFFFF"/>
        <w:spacing w:before="0" w:beforeAutospacing="0" w:after="0" w:afterAutospacing="0"/>
        <w:jc w:val="both"/>
        <w:textAlignment w:val="baseline"/>
        <w:rPr>
          <w:rFonts w:ascii="Verdana" w:hAnsi="Verdana"/>
          <w:color w:val="000000"/>
        </w:rPr>
      </w:pPr>
      <w:r w:rsidRPr="00901192">
        <w:rPr>
          <w:rFonts w:ascii="Verdana" w:hAnsi="Verdana"/>
          <w:color w:val="000000"/>
        </w:rPr>
        <w:t>Un equipo de científicos del ISCIII ha publicado </w:t>
      </w:r>
      <w:hyperlink r:id="rId5" w:history="1">
        <w:r w:rsidRPr="00901192">
          <w:rPr>
            <w:rStyle w:val="Hipervnculo"/>
            <w:rFonts w:ascii="Verdana" w:hAnsi="Verdana"/>
            <w:b/>
            <w:bCs/>
            <w:color w:val="337AB7"/>
            <w:bdr w:val="none" w:sz="0" w:space="0" w:color="auto" w:frame="1"/>
          </w:rPr>
          <w:t>en la revista </w:t>
        </w:r>
        <w:proofErr w:type="spellStart"/>
        <w:r w:rsidRPr="00901192">
          <w:rPr>
            <w:rStyle w:val="Hipervnculo"/>
            <w:rFonts w:ascii="Verdana" w:hAnsi="Verdana"/>
            <w:b/>
            <w:bCs/>
            <w:i/>
            <w:iCs/>
            <w:color w:val="337AB7"/>
            <w:bdr w:val="none" w:sz="0" w:space="0" w:color="auto" w:frame="1"/>
          </w:rPr>
          <w:t>Journal</w:t>
        </w:r>
        <w:proofErr w:type="spellEnd"/>
        <w:r w:rsidRPr="00901192">
          <w:rPr>
            <w:rStyle w:val="Hipervnculo"/>
            <w:rFonts w:ascii="Verdana" w:hAnsi="Verdana"/>
            <w:b/>
            <w:bCs/>
            <w:i/>
            <w:iCs/>
            <w:color w:val="337AB7"/>
            <w:bdr w:val="none" w:sz="0" w:space="0" w:color="auto" w:frame="1"/>
          </w:rPr>
          <w:t xml:space="preserve"> of </w:t>
        </w:r>
        <w:proofErr w:type="spellStart"/>
        <w:r w:rsidRPr="00901192">
          <w:rPr>
            <w:rStyle w:val="Hipervnculo"/>
            <w:rFonts w:ascii="Verdana" w:hAnsi="Verdana"/>
            <w:b/>
            <w:bCs/>
            <w:i/>
            <w:iCs/>
            <w:color w:val="337AB7"/>
            <w:bdr w:val="none" w:sz="0" w:space="0" w:color="auto" w:frame="1"/>
          </w:rPr>
          <w:t>Clinical</w:t>
        </w:r>
        <w:proofErr w:type="spellEnd"/>
        <w:r w:rsidRPr="00901192">
          <w:rPr>
            <w:rStyle w:val="Hipervnculo"/>
            <w:rFonts w:ascii="Verdana" w:hAnsi="Verdana"/>
            <w:b/>
            <w:bCs/>
            <w:i/>
            <w:iCs/>
            <w:color w:val="337AB7"/>
            <w:bdr w:val="none" w:sz="0" w:space="0" w:color="auto" w:frame="1"/>
          </w:rPr>
          <w:t xml:space="preserve"> Medicine</w:t>
        </w:r>
        <w:r w:rsidRPr="00901192">
          <w:rPr>
            <w:rStyle w:val="Hipervnculo"/>
            <w:rFonts w:ascii="Arial" w:hAnsi="Arial" w:cs="Arial"/>
            <w:b/>
            <w:bCs/>
            <w:i/>
            <w:iCs/>
            <w:color w:val="337AB7"/>
            <w:bdr w:val="none" w:sz="0" w:space="0" w:color="auto" w:frame="1"/>
          </w:rPr>
          <w:t>​</w:t>
        </w:r>
      </w:hyperlink>
      <w:r w:rsidRPr="00901192">
        <w:rPr>
          <w:rFonts w:ascii="Verdana" w:hAnsi="Verdana"/>
          <w:color w:val="000000"/>
        </w:rPr>
        <w:t> un estudio que concluye que la eliminación del virus de la hepatitis C (VHC) mediante antivirales de acción directa no reduce el reservorio viral ni la reestructuración genética del virus, lo que puede complicar el manejo de pacientes coinfectados con el virus de la inmunodeficiencia humana (VIH). </w:t>
      </w:r>
    </w:p>
    <w:p w:rsidR="00901192" w:rsidRDefault="00901192" w:rsidP="00901192">
      <w:pPr>
        <w:pStyle w:val="NormalWeb"/>
        <w:shd w:val="clear" w:color="auto" w:fill="FFFFFF"/>
        <w:spacing w:before="0" w:beforeAutospacing="0" w:after="0" w:afterAutospacing="0"/>
        <w:jc w:val="both"/>
        <w:textAlignment w:val="baseline"/>
        <w:rPr>
          <w:rFonts w:ascii="Verdana" w:hAnsi="Verdana"/>
          <w:color w:val="000000"/>
        </w:rPr>
      </w:pPr>
    </w:p>
    <w:p w:rsidR="00901192" w:rsidRDefault="00901192" w:rsidP="00901192">
      <w:pPr>
        <w:pStyle w:val="NormalWeb"/>
        <w:shd w:val="clear" w:color="auto" w:fill="FFFFFF"/>
        <w:spacing w:before="0" w:beforeAutospacing="0" w:after="0" w:afterAutospacing="0"/>
        <w:jc w:val="center"/>
        <w:textAlignment w:val="baseline"/>
        <w:rPr>
          <w:rFonts w:ascii="Verdana" w:hAnsi="Verdana"/>
          <w:color w:val="000000"/>
        </w:rPr>
      </w:pPr>
      <w:r>
        <w:rPr>
          <w:noProof/>
        </w:rPr>
        <w:drawing>
          <wp:inline distT="0" distB="0" distL="0" distR="0">
            <wp:extent cx="5400040" cy="2740388"/>
            <wp:effectExtent l="0" t="0" r="0" b="3175"/>
            <wp:docPr id="1" name="Imagen 1" descr="https://www.isciii.es/Noticias/Noticias/PublishingImages/Veronica%20Briz%20equipo%20VHC%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isciii.es/Noticias/Noticias/PublishingImages/Veronica%20Briz%20equipo%20VHC%202.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400040" cy="2740388"/>
                    </a:xfrm>
                    <a:prstGeom prst="rect">
                      <a:avLst/>
                    </a:prstGeom>
                    <a:noFill/>
                    <a:ln>
                      <a:noFill/>
                    </a:ln>
                  </pic:spPr>
                </pic:pic>
              </a:graphicData>
            </a:graphic>
          </wp:inline>
        </w:drawing>
      </w:r>
    </w:p>
    <w:p w:rsidR="00901192" w:rsidRPr="00901192" w:rsidRDefault="00901192" w:rsidP="00901192">
      <w:pPr>
        <w:pStyle w:val="NormalWeb"/>
        <w:shd w:val="clear" w:color="auto" w:fill="FFFFFF"/>
        <w:spacing w:before="0" w:beforeAutospacing="0" w:after="0" w:afterAutospacing="0"/>
        <w:jc w:val="center"/>
        <w:textAlignment w:val="baseline"/>
        <w:rPr>
          <w:rFonts w:ascii="Verdana" w:hAnsi="Verdana"/>
          <w:color w:val="000000"/>
        </w:rPr>
      </w:pPr>
      <w:r>
        <w:rPr>
          <w:rFonts w:ascii="Arial" w:hAnsi="Arial" w:cs="Arial"/>
          <w:i/>
          <w:iCs/>
          <w:color w:val="333333"/>
          <w:sz w:val="26"/>
          <w:szCs w:val="26"/>
          <w:shd w:val="clear" w:color="auto" w:fill="FFFFFF"/>
        </w:rPr>
        <w:t>​</w:t>
      </w:r>
      <w:r w:rsidRPr="00901192">
        <w:rPr>
          <w:rFonts w:ascii="Verdana" w:hAnsi="Verdana"/>
          <w:i/>
          <w:iCs/>
          <w:color w:val="333333"/>
          <w:sz w:val="20"/>
          <w:szCs w:val="20"/>
          <w:shd w:val="clear" w:color="auto" w:fill="FFFFFF"/>
        </w:rPr>
        <w:t>Verónica Briz, Violeta Lara Aguilar, Celia Crespo Bermejo, Amanda Fernández Rodríguez y Sonia Arca De Lafuente, autoras del trabajo e investigadoras en el Centro Nacional de</w:t>
      </w:r>
      <w:r>
        <w:rPr>
          <w:rFonts w:ascii="Verdana" w:hAnsi="Verdana"/>
          <w:i/>
          <w:iCs/>
          <w:color w:val="333333"/>
          <w:sz w:val="20"/>
          <w:szCs w:val="20"/>
          <w:shd w:val="clear" w:color="auto" w:fill="FFFFFF"/>
        </w:rPr>
        <w:t xml:space="preserve"> </w:t>
      </w:r>
      <w:r w:rsidRPr="00901192">
        <w:rPr>
          <w:rFonts w:ascii="Verdana" w:hAnsi="Verdana"/>
          <w:i/>
          <w:iCs/>
          <w:color w:val="333333"/>
          <w:sz w:val="20"/>
          <w:szCs w:val="20"/>
          <w:shd w:val="clear" w:color="auto" w:fill="FFFFFF"/>
        </w:rPr>
        <w:t>Microbiología del ISCIII</w:t>
      </w:r>
    </w:p>
    <w:p w:rsidR="00901192" w:rsidRPr="00901192" w:rsidRDefault="00901192" w:rsidP="00901192">
      <w:pPr>
        <w:pStyle w:val="NormalWeb"/>
        <w:shd w:val="clear" w:color="auto" w:fill="FFFFFF"/>
        <w:spacing w:before="0" w:beforeAutospacing="0" w:after="150" w:afterAutospacing="0"/>
        <w:jc w:val="both"/>
        <w:textAlignment w:val="baseline"/>
        <w:rPr>
          <w:rFonts w:ascii="Verdana" w:hAnsi="Verdana"/>
          <w:color w:val="000000"/>
        </w:rPr>
      </w:pPr>
      <w:r w:rsidRPr="00901192">
        <w:rPr>
          <w:rFonts w:ascii="Verdana" w:hAnsi="Verdana"/>
          <w:color w:val="000000"/>
        </w:rPr>
        <w:lastRenderedPageBreak/>
        <w:br/>
        <w:t xml:space="preserve">La investigación está coordinada por investigadoras del Laboratorio de Hepatitis y del Laboratorio de VIH del Centro Nacional de Microbiología del ISCIII, en colaboración con científicos del grupo multidisciplinar en </w:t>
      </w:r>
      <w:proofErr w:type="spellStart"/>
      <w:r w:rsidRPr="00901192">
        <w:rPr>
          <w:rFonts w:ascii="Verdana" w:hAnsi="Verdana"/>
          <w:color w:val="000000"/>
        </w:rPr>
        <w:t>coinfección</w:t>
      </w:r>
      <w:proofErr w:type="spellEnd"/>
      <w:r w:rsidRPr="00901192">
        <w:rPr>
          <w:rFonts w:ascii="Verdana" w:hAnsi="Verdana"/>
          <w:color w:val="000000"/>
        </w:rPr>
        <w:t xml:space="preserve"> por VIH y hepatitis virales (COVIHEP) de los hospitales La Paz, Doce de Octubre, Infanta Leonor y La Princesa, todos ellos en Madrid; el Instituto Nacional de Investigación y Tecnología Agraria (INIA) y la Universidad de Lisboa. </w:t>
      </w:r>
    </w:p>
    <w:p w:rsidR="00901192" w:rsidRPr="00901192" w:rsidRDefault="00901192" w:rsidP="00901192">
      <w:pPr>
        <w:pStyle w:val="NormalWeb"/>
        <w:shd w:val="clear" w:color="auto" w:fill="FFFFFF"/>
        <w:spacing w:before="0" w:beforeAutospacing="0" w:after="0" w:afterAutospacing="0"/>
        <w:jc w:val="both"/>
        <w:textAlignment w:val="baseline"/>
        <w:rPr>
          <w:rFonts w:ascii="Verdana" w:hAnsi="Verdana"/>
          <w:color w:val="000000"/>
        </w:rPr>
      </w:pPr>
      <w:r w:rsidRPr="00901192">
        <w:rPr>
          <w:rFonts w:ascii="Verdana" w:hAnsi="Verdana"/>
          <w:color w:val="000000"/>
        </w:rPr>
        <w:br/>
        <w:t>- </w:t>
      </w:r>
      <w:hyperlink r:id="rId7" w:history="1">
        <w:r w:rsidRPr="00901192">
          <w:rPr>
            <w:rStyle w:val="Hipervnculo"/>
            <w:rFonts w:ascii="Verdana" w:hAnsi="Verdana"/>
            <w:b/>
            <w:bCs/>
            <w:color w:val="337AB7"/>
            <w:bdr w:val="none" w:sz="0" w:space="0" w:color="auto" w:frame="1"/>
          </w:rPr>
          <w:t>Consulta el artículo completo</w:t>
        </w:r>
        <w:r w:rsidRPr="00901192">
          <w:rPr>
            <w:rStyle w:val="Hipervnculo"/>
            <w:rFonts w:ascii="Arial" w:hAnsi="Arial" w:cs="Arial"/>
            <w:b/>
            <w:bCs/>
            <w:color w:val="337AB7"/>
            <w:bdr w:val="none" w:sz="0" w:space="0" w:color="auto" w:frame="1"/>
          </w:rPr>
          <w:t>​</w:t>
        </w:r>
      </w:hyperlink>
    </w:p>
    <w:p w:rsidR="00901192" w:rsidRPr="00901192" w:rsidRDefault="00901192" w:rsidP="00901192">
      <w:pPr>
        <w:pStyle w:val="NormalWeb"/>
        <w:shd w:val="clear" w:color="auto" w:fill="FFFFFF"/>
        <w:spacing w:before="0" w:beforeAutospacing="0" w:after="150" w:afterAutospacing="0"/>
        <w:jc w:val="both"/>
        <w:textAlignment w:val="baseline"/>
        <w:rPr>
          <w:rFonts w:ascii="Verdana" w:hAnsi="Verdana"/>
          <w:color w:val="000000"/>
        </w:rPr>
      </w:pPr>
      <w:r w:rsidRPr="00901192">
        <w:rPr>
          <w:rFonts w:ascii="Verdana" w:hAnsi="Verdana"/>
          <w:color w:val="000000"/>
        </w:rPr>
        <w:br/>
        <w:t xml:space="preserve">El trabajo ha analizado datos de 22 personas VIH+ no infectados con el VHC; 17 pacientes VIH+ que han superado de manera espontánea la infección por VHC, y 24 personas VIH+/VHC+ infectados de manera crónica que eliminaron el VHC gracias a la acción de los citados medicamentos. Los resultados confirman que los fármacos antivirales de acción directa, que han supuesto en los últimos años una revolución en el tratamiento de la hepatitis C, eliminan el </w:t>
      </w:r>
      <w:proofErr w:type="gramStart"/>
      <w:r w:rsidRPr="00901192">
        <w:rPr>
          <w:rFonts w:ascii="Verdana" w:hAnsi="Verdana"/>
          <w:color w:val="000000"/>
        </w:rPr>
        <w:t>VHC</w:t>
      </w:r>
      <w:proofErr w:type="gramEnd"/>
      <w:r w:rsidRPr="00901192">
        <w:rPr>
          <w:rFonts w:ascii="Verdana" w:hAnsi="Verdana"/>
          <w:color w:val="000000"/>
        </w:rPr>
        <w:t xml:space="preserve"> pero no logran revertir dos procesos asociados a la infección: el mayor tamaño de reservorio del virus y el proceso de </w:t>
      </w:r>
      <w:proofErr w:type="spellStart"/>
      <w:r w:rsidRPr="00901192">
        <w:rPr>
          <w:rFonts w:ascii="Verdana" w:hAnsi="Verdana"/>
          <w:color w:val="000000"/>
        </w:rPr>
        <w:t>splicing</w:t>
      </w:r>
      <w:proofErr w:type="spellEnd"/>
      <w:r w:rsidRPr="00901192">
        <w:rPr>
          <w:rFonts w:ascii="Verdana" w:hAnsi="Verdana"/>
          <w:color w:val="000000"/>
        </w:rPr>
        <w:t xml:space="preserve"> viral, que reestructura su material genético. </w:t>
      </w:r>
    </w:p>
    <w:p w:rsidR="00901192" w:rsidRPr="00901192" w:rsidRDefault="00901192" w:rsidP="00901192">
      <w:pPr>
        <w:pStyle w:val="NormalWeb"/>
        <w:shd w:val="clear" w:color="auto" w:fill="FFFFFF"/>
        <w:spacing w:before="0" w:beforeAutospacing="0" w:after="150" w:afterAutospacing="0"/>
        <w:jc w:val="both"/>
        <w:textAlignment w:val="baseline"/>
        <w:rPr>
          <w:rFonts w:ascii="Verdana" w:hAnsi="Verdana"/>
          <w:color w:val="000000"/>
        </w:rPr>
      </w:pPr>
      <w:r w:rsidRPr="00901192">
        <w:rPr>
          <w:rFonts w:ascii="Verdana" w:hAnsi="Verdana"/>
          <w:color w:val="000000"/>
        </w:rPr>
        <w:br/>
        <w:t xml:space="preserve">Ambos procesos, que aparecen significativamente aumentados antes de que los fármacos logran eliminar el VHC y que podrían indicar que la proteína </w:t>
      </w:r>
      <w:proofErr w:type="spellStart"/>
      <w:r w:rsidRPr="00901192">
        <w:rPr>
          <w:rFonts w:ascii="Verdana" w:hAnsi="Verdana"/>
          <w:color w:val="000000"/>
        </w:rPr>
        <w:t>Tat</w:t>
      </w:r>
      <w:proofErr w:type="spellEnd"/>
      <w:r w:rsidRPr="00901192">
        <w:rPr>
          <w:rFonts w:ascii="Verdana" w:hAnsi="Verdana"/>
          <w:color w:val="000000"/>
        </w:rPr>
        <w:t xml:space="preserve"> se sintetiza más activamente, podrían estar relacionados con un mayor riesgo de reactivación rápida del reservorio del virus VIH. Este hecho complicaría la eliminación de su reservorio viral y el manejo de las personas que viven con una </w:t>
      </w:r>
      <w:proofErr w:type="spellStart"/>
      <w:r w:rsidRPr="00901192">
        <w:rPr>
          <w:rFonts w:ascii="Verdana" w:hAnsi="Verdana"/>
          <w:color w:val="000000"/>
        </w:rPr>
        <w:t>coinfección</w:t>
      </w:r>
      <w:proofErr w:type="spellEnd"/>
      <w:r w:rsidRPr="00901192">
        <w:rPr>
          <w:rFonts w:ascii="Verdana" w:hAnsi="Verdana"/>
          <w:color w:val="000000"/>
        </w:rPr>
        <w:t xml:space="preserve"> de ambos virus, el VHC y el VIH. </w:t>
      </w:r>
    </w:p>
    <w:p w:rsidR="00901192" w:rsidRPr="00901192" w:rsidRDefault="00901192" w:rsidP="00901192">
      <w:pPr>
        <w:pStyle w:val="NormalWeb"/>
        <w:shd w:val="clear" w:color="auto" w:fill="FFFFFF"/>
        <w:spacing w:before="0" w:beforeAutospacing="0" w:after="150" w:afterAutospacing="0"/>
        <w:jc w:val="both"/>
        <w:textAlignment w:val="baseline"/>
        <w:rPr>
          <w:rFonts w:ascii="Verdana" w:hAnsi="Verdana"/>
          <w:color w:val="000000"/>
        </w:rPr>
      </w:pPr>
      <w:r w:rsidRPr="00901192">
        <w:rPr>
          <w:rFonts w:ascii="Verdana" w:hAnsi="Verdana"/>
          <w:color w:val="000000"/>
        </w:rPr>
        <w:br/>
        <w:t xml:space="preserve">El virus del VIH pertenece a la familia de los retrovirus, un tipo de virus ARN capaces de llevar a </w:t>
      </w:r>
      <w:proofErr w:type="spellStart"/>
      <w:r w:rsidRPr="00901192">
        <w:rPr>
          <w:rFonts w:ascii="Verdana" w:hAnsi="Verdana"/>
          <w:color w:val="000000"/>
        </w:rPr>
        <w:t>a</w:t>
      </w:r>
      <w:proofErr w:type="spellEnd"/>
      <w:r w:rsidRPr="00901192">
        <w:rPr>
          <w:rFonts w:ascii="Verdana" w:hAnsi="Verdana"/>
          <w:color w:val="000000"/>
        </w:rPr>
        <w:t xml:space="preserve"> cabo un proceso conocido como </w:t>
      </w:r>
      <w:proofErr w:type="spellStart"/>
      <w:r w:rsidRPr="00901192">
        <w:rPr>
          <w:rFonts w:ascii="Verdana" w:hAnsi="Verdana"/>
          <w:color w:val="000000"/>
        </w:rPr>
        <w:t>retrotranscripción</w:t>
      </w:r>
      <w:proofErr w:type="spellEnd"/>
      <w:r w:rsidRPr="00901192">
        <w:rPr>
          <w:rFonts w:ascii="Verdana" w:hAnsi="Verdana"/>
          <w:color w:val="000000"/>
        </w:rPr>
        <w:t xml:space="preserve"> genética, que permite la conversión del ARN en ADN. El VIH integra su genoma en los linfocitos T CD4+, las células inmunitarias que infecta, colonizándolos y destruyéndolos progresivamente, lo que conduce hacia la posibilidad de desarrollar el Sida, una inmunodeficiencia que provoca la aparición de otras infecciones, como la hepatitis C. </w:t>
      </w:r>
    </w:p>
    <w:p w:rsidR="00901192" w:rsidRPr="00901192" w:rsidRDefault="00901192" w:rsidP="00901192">
      <w:pPr>
        <w:pStyle w:val="NormalWeb"/>
        <w:shd w:val="clear" w:color="auto" w:fill="FFFFFF"/>
        <w:spacing w:before="0" w:beforeAutospacing="0" w:after="150" w:afterAutospacing="0"/>
        <w:jc w:val="both"/>
        <w:textAlignment w:val="baseline"/>
        <w:rPr>
          <w:rFonts w:ascii="Verdana" w:hAnsi="Verdana"/>
          <w:color w:val="000000"/>
        </w:rPr>
      </w:pPr>
      <w:r w:rsidRPr="00901192">
        <w:rPr>
          <w:rFonts w:ascii="Verdana" w:hAnsi="Verdana"/>
          <w:color w:val="000000"/>
        </w:rPr>
        <w:br/>
        <w:t xml:space="preserve">Por su parte, el VHC pertenece a la familia de los </w:t>
      </w:r>
      <w:proofErr w:type="spellStart"/>
      <w:r w:rsidRPr="00901192">
        <w:rPr>
          <w:rFonts w:ascii="Verdana" w:hAnsi="Verdana"/>
          <w:color w:val="000000"/>
        </w:rPr>
        <w:t>flavivirus</w:t>
      </w:r>
      <w:proofErr w:type="spellEnd"/>
      <w:r w:rsidRPr="00901192">
        <w:rPr>
          <w:rFonts w:ascii="Verdana" w:hAnsi="Verdana"/>
          <w:color w:val="000000"/>
        </w:rPr>
        <w:t xml:space="preserve"> e infecta las células del hígado, los hepatocitos, provocando su destrucción. Con el paso del tiempo, la diseminación de esta infección produce hepatitis, fibrosis y cirrosis, lo que puede desencadenar cáncer de hígado o descompensación hepática en algunos pacientes. La </w:t>
      </w:r>
      <w:proofErr w:type="spellStart"/>
      <w:r w:rsidRPr="00901192">
        <w:rPr>
          <w:rFonts w:ascii="Verdana" w:hAnsi="Verdana"/>
          <w:color w:val="000000"/>
        </w:rPr>
        <w:t>coinfección</w:t>
      </w:r>
      <w:proofErr w:type="spellEnd"/>
      <w:r w:rsidRPr="00901192">
        <w:rPr>
          <w:rFonts w:ascii="Verdana" w:hAnsi="Verdana"/>
          <w:color w:val="000000"/>
        </w:rPr>
        <w:t xml:space="preserve"> con ambos virus se da en hasta un 25% del total de pacientes VIH positivos </w:t>
      </w:r>
      <w:r w:rsidRPr="00901192">
        <w:rPr>
          <w:rFonts w:ascii="Verdana" w:hAnsi="Verdana"/>
          <w:color w:val="000000"/>
        </w:rPr>
        <w:lastRenderedPageBreak/>
        <w:t>en algunos países, y se encuentra normalmente asociada al contagio por uso de drogas intravenosas. </w:t>
      </w:r>
    </w:p>
    <w:p w:rsidR="00901192" w:rsidRPr="00901192" w:rsidRDefault="00901192" w:rsidP="00901192">
      <w:pPr>
        <w:pStyle w:val="NormalWeb"/>
        <w:shd w:val="clear" w:color="auto" w:fill="FFFFFF"/>
        <w:spacing w:before="0" w:beforeAutospacing="0" w:after="0" w:afterAutospacing="0"/>
        <w:jc w:val="both"/>
        <w:textAlignment w:val="baseline"/>
        <w:rPr>
          <w:rFonts w:ascii="Verdana" w:hAnsi="Verdana"/>
          <w:color w:val="000000"/>
        </w:rPr>
      </w:pPr>
      <w:r w:rsidRPr="00901192">
        <w:rPr>
          <w:rFonts w:ascii="Verdana" w:hAnsi="Verdana"/>
          <w:color w:val="000000"/>
        </w:rPr>
        <w:br/>
      </w:r>
    </w:p>
    <w:p w:rsidR="00901192" w:rsidRPr="00901192" w:rsidRDefault="00901192" w:rsidP="00901192">
      <w:pPr>
        <w:pStyle w:val="Ttulo3"/>
        <w:shd w:val="clear" w:color="auto" w:fill="FFFFFF"/>
        <w:spacing w:before="0"/>
        <w:jc w:val="both"/>
        <w:textAlignment w:val="baseline"/>
        <w:rPr>
          <w:rFonts w:ascii="Verdana" w:hAnsi="Verdana"/>
          <w:color w:val="auto"/>
        </w:rPr>
      </w:pPr>
      <w:r w:rsidRPr="00901192">
        <w:rPr>
          <w:rStyle w:val="Textoennegrita"/>
          <w:rFonts w:ascii="Verdana" w:hAnsi="Verdana"/>
          <w:b w:val="0"/>
          <w:bCs w:val="0"/>
          <w:bdr w:val="none" w:sz="0" w:space="0" w:color="auto" w:frame="1"/>
        </w:rPr>
        <w:t xml:space="preserve">¿Reenfocar el abordaje de la </w:t>
      </w:r>
      <w:proofErr w:type="spellStart"/>
      <w:r w:rsidRPr="00901192">
        <w:rPr>
          <w:rStyle w:val="Textoennegrita"/>
          <w:rFonts w:ascii="Verdana" w:hAnsi="Verdana"/>
          <w:b w:val="0"/>
          <w:bCs w:val="0"/>
          <w:bdr w:val="none" w:sz="0" w:space="0" w:color="auto" w:frame="1"/>
        </w:rPr>
        <w:t>coinfección</w:t>
      </w:r>
      <w:proofErr w:type="spellEnd"/>
      <w:r w:rsidRPr="00901192">
        <w:rPr>
          <w:rStyle w:val="Textoennegrita"/>
          <w:rFonts w:ascii="Verdana" w:hAnsi="Verdana"/>
          <w:b w:val="0"/>
          <w:bCs w:val="0"/>
          <w:bdr w:val="none" w:sz="0" w:space="0" w:color="auto" w:frame="1"/>
        </w:rPr>
        <w:t>?</w:t>
      </w:r>
    </w:p>
    <w:p w:rsidR="00901192" w:rsidRPr="00901192" w:rsidRDefault="00901192" w:rsidP="00901192">
      <w:pPr>
        <w:pStyle w:val="NormalWeb"/>
        <w:shd w:val="clear" w:color="auto" w:fill="FFFFFF"/>
        <w:spacing w:before="0" w:beforeAutospacing="0" w:after="0" w:afterAutospacing="0"/>
        <w:jc w:val="both"/>
        <w:textAlignment w:val="baseline"/>
        <w:rPr>
          <w:rFonts w:ascii="Verdana" w:hAnsi="Verdana"/>
          <w:color w:val="000000"/>
        </w:rPr>
      </w:pPr>
      <w:r w:rsidRPr="00901192">
        <w:rPr>
          <w:rFonts w:ascii="Verdana" w:hAnsi="Verdana"/>
          <w:color w:val="000000"/>
        </w:rPr>
        <w:br/>
        <w:t xml:space="preserve">La investigación ahora publicada aporta nuevo conocimiento sobre el impacto de la eliminación del virus de la hepatitis C en el tamaño del reservorio y la transcripción del </w:t>
      </w:r>
      <w:proofErr w:type="spellStart"/>
      <w:r w:rsidRPr="00901192">
        <w:rPr>
          <w:rFonts w:ascii="Verdana" w:hAnsi="Verdana"/>
          <w:color w:val="000000"/>
        </w:rPr>
        <w:t>provirus</w:t>
      </w:r>
      <w:proofErr w:type="spellEnd"/>
      <w:r w:rsidRPr="00901192">
        <w:rPr>
          <w:rFonts w:ascii="Verdana" w:hAnsi="Verdana"/>
          <w:color w:val="000000"/>
        </w:rPr>
        <w:t xml:space="preserve"> integrado del VIH en pacientes VIH positivos. Según explica la doctora </w:t>
      </w:r>
      <w:r w:rsidRPr="00901192">
        <w:rPr>
          <w:rStyle w:val="Textoennegrita"/>
          <w:rFonts w:ascii="Verdana" w:eastAsiaTheme="majorEastAsia" w:hAnsi="Verdana"/>
          <w:color w:val="000000"/>
          <w:bdr w:val="none" w:sz="0" w:space="0" w:color="auto" w:frame="1"/>
        </w:rPr>
        <w:t>Verónica Briz</w:t>
      </w:r>
      <w:r w:rsidRPr="00901192">
        <w:rPr>
          <w:rFonts w:ascii="Verdana" w:hAnsi="Verdana"/>
          <w:color w:val="000000"/>
        </w:rPr>
        <w:t xml:space="preserve">, investigadora del CNM-ISCIII, el trabajo sugiere que la eliminación del VHC con los fármacos antivirales de acción directa parece incapaz de revertir las consecuencias derivadas de la infección crónica por el virus, caracterizada por los citados procesos de aumento del tamaño del reservorio y </w:t>
      </w:r>
      <w:proofErr w:type="spellStart"/>
      <w:r w:rsidRPr="00901192">
        <w:rPr>
          <w:rFonts w:ascii="Verdana" w:hAnsi="Verdana"/>
          <w:color w:val="000000"/>
        </w:rPr>
        <w:t>splicing</w:t>
      </w:r>
      <w:proofErr w:type="spellEnd"/>
      <w:r w:rsidRPr="00901192">
        <w:rPr>
          <w:rFonts w:ascii="Verdana" w:hAnsi="Verdana"/>
          <w:color w:val="000000"/>
        </w:rPr>
        <w:t xml:space="preserve"> viral, lo que podría indicar un mayor riesgo de reactivación rápida del reservorio del VIH. De esta manera, la eliminación del reservorio del VIH en las personas que viven con VIH y a la vez están coinfectadas con el VHC podría verse obstaculizada, lo que obligaría a buscar nuevos enfoques terapéuticos para manejarla. </w:t>
      </w:r>
    </w:p>
    <w:p w:rsidR="00901192" w:rsidRPr="00901192" w:rsidRDefault="00901192" w:rsidP="00901192">
      <w:pPr>
        <w:pStyle w:val="NormalWeb"/>
        <w:shd w:val="clear" w:color="auto" w:fill="FFFFFF"/>
        <w:spacing w:before="0" w:beforeAutospacing="0" w:after="0" w:afterAutospacing="0"/>
        <w:jc w:val="both"/>
        <w:textAlignment w:val="baseline"/>
        <w:rPr>
          <w:rFonts w:ascii="Verdana" w:hAnsi="Verdana"/>
          <w:color w:val="000000"/>
        </w:rPr>
      </w:pPr>
      <w:r w:rsidRPr="00901192">
        <w:rPr>
          <w:rFonts w:ascii="Verdana" w:hAnsi="Verdana"/>
          <w:color w:val="000000"/>
        </w:rPr>
        <w:br/>
        <w:t>• </w:t>
      </w:r>
      <w:r w:rsidRPr="00901192">
        <w:rPr>
          <w:rStyle w:val="Textoennegrita"/>
          <w:rFonts w:ascii="Verdana" w:eastAsiaTheme="majorEastAsia" w:hAnsi="Verdana"/>
          <w:color w:val="000000"/>
          <w:bdr w:val="none" w:sz="0" w:space="0" w:color="auto" w:frame="1"/>
        </w:rPr>
        <w:t>Referencia del artículo</w:t>
      </w:r>
      <w:r w:rsidRPr="00901192">
        <w:rPr>
          <w:rFonts w:ascii="Verdana" w:hAnsi="Verdana"/>
          <w:color w:val="000000"/>
        </w:rPr>
        <w:t>: </w:t>
      </w:r>
      <w:r w:rsidRPr="00901192">
        <w:rPr>
          <w:rFonts w:ascii="Verdana" w:hAnsi="Verdana"/>
          <w:i/>
          <w:iCs/>
          <w:color w:val="000000"/>
          <w:bdr w:val="none" w:sz="0" w:space="0" w:color="auto" w:frame="1"/>
        </w:rPr>
        <w:t xml:space="preserve">Martínez-Román, P.; Crespo-Bermejo, C.; Valle-Millares, D.; Lara-Aguilar V.; Arca-Lafuente, S.; Martín-Carbonero, L.; </w:t>
      </w:r>
      <w:proofErr w:type="spellStart"/>
      <w:r w:rsidRPr="00901192">
        <w:rPr>
          <w:rFonts w:ascii="Verdana" w:hAnsi="Verdana"/>
          <w:i/>
          <w:iCs/>
          <w:color w:val="000000"/>
          <w:bdr w:val="none" w:sz="0" w:space="0" w:color="auto" w:frame="1"/>
        </w:rPr>
        <w:t>Ryan</w:t>
      </w:r>
      <w:proofErr w:type="spellEnd"/>
      <w:r w:rsidRPr="00901192">
        <w:rPr>
          <w:rFonts w:ascii="Verdana" w:hAnsi="Verdana"/>
          <w:i/>
          <w:iCs/>
          <w:color w:val="000000"/>
          <w:bdr w:val="none" w:sz="0" w:space="0" w:color="auto" w:frame="1"/>
        </w:rPr>
        <w:t xml:space="preserve">, P.; de los Santos, I.; López-Huertas, M.R.; </w:t>
      </w:r>
      <w:proofErr w:type="spellStart"/>
      <w:r w:rsidRPr="00901192">
        <w:rPr>
          <w:rFonts w:ascii="Verdana" w:hAnsi="Verdana"/>
          <w:i/>
          <w:iCs/>
          <w:color w:val="000000"/>
          <w:bdr w:val="none" w:sz="0" w:space="0" w:color="auto" w:frame="1"/>
        </w:rPr>
        <w:t>Palladino</w:t>
      </w:r>
      <w:proofErr w:type="spellEnd"/>
      <w:r w:rsidRPr="00901192">
        <w:rPr>
          <w:rFonts w:ascii="Verdana" w:hAnsi="Verdana"/>
          <w:i/>
          <w:iCs/>
          <w:color w:val="000000"/>
          <w:bdr w:val="none" w:sz="0" w:space="0" w:color="auto" w:frame="1"/>
        </w:rPr>
        <w:t xml:space="preserve">, C; Muñoz-Muñoz, M; Fernández-Rodríguez, A.; </w:t>
      </w:r>
      <w:proofErr w:type="spellStart"/>
      <w:r w:rsidRPr="00901192">
        <w:rPr>
          <w:rFonts w:ascii="Verdana" w:hAnsi="Verdana"/>
          <w:i/>
          <w:iCs/>
          <w:color w:val="000000"/>
          <w:bdr w:val="none" w:sz="0" w:space="0" w:color="auto" w:frame="1"/>
        </w:rPr>
        <w:t>Coiras</w:t>
      </w:r>
      <w:proofErr w:type="spellEnd"/>
      <w:r w:rsidRPr="00901192">
        <w:rPr>
          <w:rFonts w:ascii="Verdana" w:hAnsi="Verdana"/>
          <w:i/>
          <w:iCs/>
          <w:color w:val="000000"/>
          <w:bdr w:val="none" w:sz="0" w:space="0" w:color="auto" w:frame="1"/>
        </w:rPr>
        <w:t xml:space="preserve">, M.; Briz, V., </w:t>
      </w:r>
      <w:proofErr w:type="spellStart"/>
      <w:r w:rsidRPr="00901192">
        <w:rPr>
          <w:rFonts w:ascii="Verdana" w:hAnsi="Verdana"/>
          <w:i/>
          <w:iCs/>
          <w:color w:val="000000"/>
          <w:bdr w:val="none" w:sz="0" w:space="0" w:color="auto" w:frame="1"/>
        </w:rPr>
        <w:t>on</w:t>
      </w:r>
      <w:proofErr w:type="spellEnd"/>
      <w:r w:rsidRPr="00901192">
        <w:rPr>
          <w:rFonts w:ascii="Verdana" w:hAnsi="Verdana"/>
          <w:i/>
          <w:iCs/>
          <w:color w:val="000000"/>
          <w:bdr w:val="none" w:sz="0" w:space="0" w:color="auto" w:frame="1"/>
        </w:rPr>
        <w:t xml:space="preserve"> </w:t>
      </w:r>
      <w:proofErr w:type="spellStart"/>
      <w:r w:rsidRPr="00901192">
        <w:rPr>
          <w:rFonts w:ascii="Verdana" w:hAnsi="Verdana"/>
          <w:i/>
          <w:iCs/>
          <w:color w:val="000000"/>
          <w:bdr w:val="none" w:sz="0" w:space="0" w:color="auto" w:frame="1"/>
        </w:rPr>
        <w:t>behalf</w:t>
      </w:r>
      <w:proofErr w:type="spellEnd"/>
      <w:r w:rsidRPr="00901192">
        <w:rPr>
          <w:rFonts w:ascii="Verdana" w:hAnsi="Verdana"/>
          <w:i/>
          <w:iCs/>
          <w:color w:val="000000"/>
          <w:bdr w:val="none" w:sz="0" w:space="0" w:color="auto" w:frame="1"/>
        </w:rPr>
        <w:t xml:space="preserve"> of COVIHEP; Dynamics of HIV </w:t>
      </w:r>
      <w:proofErr w:type="spellStart"/>
      <w:r w:rsidRPr="00901192">
        <w:rPr>
          <w:rFonts w:ascii="Verdana" w:hAnsi="Verdana"/>
          <w:i/>
          <w:iCs/>
          <w:color w:val="000000"/>
          <w:bdr w:val="none" w:sz="0" w:space="0" w:color="auto" w:frame="1"/>
        </w:rPr>
        <w:t>reservoir</w:t>
      </w:r>
      <w:proofErr w:type="spellEnd"/>
      <w:r w:rsidRPr="00901192">
        <w:rPr>
          <w:rFonts w:ascii="Verdana" w:hAnsi="Verdana"/>
          <w:i/>
          <w:iCs/>
          <w:color w:val="000000"/>
          <w:bdr w:val="none" w:sz="0" w:space="0" w:color="auto" w:frame="1"/>
        </w:rPr>
        <w:t xml:space="preserve"> and HIV-1 viral </w:t>
      </w:r>
      <w:proofErr w:type="spellStart"/>
      <w:r w:rsidRPr="00901192">
        <w:rPr>
          <w:rFonts w:ascii="Verdana" w:hAnsi="Verdana"/>
          <w:i/>
          <w:iCs/>
          <w:color w:val="000000"/>
          <w:bdr w:val="none" w:sz="0" w:space="0" w:color="auto" w:frame="1"/>
        </w:rPr>
        <w:t>splicing</w:t>
      </w:r>
      <w:proofErr w:type="spellEnd"/>
      <w:r w:rsidRPr="00901192">
        <w:rPr>
          <w:rFonts w:ascii="Verdana" w:hAnsi="Verdana"/>
          <w:i/>
          <w:iCs/>
          <w:color w:val="000000"/>
          <w:bdr w:val="none" w:sz="0" w:space="0" w:color="auto" w:frame="1"/>
        </w:rPr>
        <w:t xml:space="preserve"> in HCV </w:t>
      </w:r>
      <w:proofErr w:type="spellStart"/>
      <w:r w:rsidRPr="00901192">
        <w:rPr>
          <w:rFonts w:ascii="Verdana" w:hAnsi="Verdana"/>
          <w:i/>
          <w:iCs/>
          <w:color w:val="000000"/>
          <w:bdr w:val="none" w:sz="0" w:space="0" w:color="auto" w:frame="1"/>
        </w:rPr>
        <w:t>exposed</w:t>
      </w:r>
      <w:proofErr w:type="spellEnd"/>
      <w:r w:rsidRPr="00901192">
        <w:rPr>
          <w:rFonts w:ascii="Verdana" w:hAnsi="Verdana"/>
          <w:i/>
          <w:iCs/>
          <w:color w:val="000000"/>
          <w:bdr w:val="none" w:sz="0" w:space="0" w:color="auto" w:frame="1"/>
        </w:rPr>
        <w:t xml:space="preserve"> </w:t>
      </w:r>
      <w:proofErr w:type="spellStart"/>
      <w:r w:rsidRPr="00901192">
        <w:rPr>
          <w:rFonts w:ascii="Verdana" w:hAnsi="Verdana"/>
          <w:i/>
          <w:iCs/>
          <w:color w:val="000000"/>
          <w:bdr w:val="none" w:sz="0" w:space="0" w:color="auto" w:frame="1"/>
        </w:rPr>
        <w:t>individuals</w:t>
      </w:r>
      <w:proofErr w:type="spellEnd"/>
      <w:r w:rsidRPr="00901192">
        <w:rPr>
          <w:rFonts w:ascii="Verdana" w:hAnsi="Verdana"/>
          <w:i/>
          <w:iCs/>
          <w:color w:val="000000"/>
          <w:bdr w:val="none" w:sz="0" w:space="0" w:color="auto" w:frame="1"/>
        </w:rPr>
        <w:t xml:space="preserve"> </w:t>
      </w:r>
      <w:proofErr w:type="spellStart"/>
      <w:r w:rsidRPr="00901192">
        <w:rPr>
          <w:rFonts w:ascii="Verdana" w:hAnsi="Verdana"/>
          <w:i/>
          <w:iCs/>
          <w:color w:val="000000"/>
          <w:bdr w:val="none" w:sz="0" w:space="0" w:color="auto" w:frame="1"/>
        </w:rPr>
        <w:t>after</w:t>
      </w:r>
      <w:proofErr w:type="spellEnd"/>
      <w:r w:rsidRPr="00901192">
        <w:rPr>
          <w:rFonts w:ascii="Verdana" w:hAnsi="Verdana"/>
          <w:i/>
          <w:iCs/>
          <w:color w:val="000000"/>
          <w:bdr w:val="none" w:sz="0" w:space="0" w:color="auto" w:frame="1"/>
        </w:rPr>
        <w:t xml:space="preserve"> </w:t>
      </w:r>
      <w:proofErr w:type="spellStart"/>
      <w:r w:rsidRPr="00901192">
        <w:rPr>
          <w:rFonts w:ascii="Verdana" w:hAnsi="Verdana"/>
          <w:i/>
          <w:iCs/>
          <w:color w:val="000000"/>
          <w:bdr w:val="none" w:sz="0" w:space="0" w:color="auto" w:frame="1"/>
        </w:rPr>
        <w:t>elimination</w:t>
      </w:r>
      <w:proofErr w:type="spellEnd"/>
      <w:r w:rsidRPr="00901192">
        <w:rPr>
          <w:rFonts w:ascii="Verdana" w:hAnsi="Verdana"/>
          <w:i/>
          <w:iCs/>
          <w:color w:val="000000"/>
          <w:bdr w:val="none" w:sz="0" w:space="0" w:color="auto" w:frame="1"/>
        </w:rPr>
        <w:t xml:space="preserve"> </w:t>
      </w:r>
      <w:proofErr w:type="spellStart"/>
      <w:r w:rsidRPr="00901192">
        <w:rPr>
          <w:rFonts w:ascii="Verdana" w:hAnsi="Verdana"/>
          <w:i/>
          <w:iCs/>
          <w:color w:val="000000"/>
          <w:bdr w:val="none" w:sz="0" w:space="0" w:color="auto" w:frame="1"/>
        </w:rPr>
        <w:t>with</w:t>
      </w:r>
      <w:proofErr w:type="spellEnd"/>
      <w:r w:rsidRPr="00901192">
        <w:rPr>
          <w:rFonts w:ascii="Verdana" w:hAnsi="Verdana"/>
          <w:i/>
          <w:iCs/>
          <w:color w:val="000000"/>
          <w:bdr w:val="none" w:sz="0" w:space="0" w:color="auto" w:frame="1"/>
        </w:rPr>
        <w:t xml:space="preserve"> </w:t>
      </w:r>
      <w:proofErr w:type="spellStart"/>
      <w:r w:rsidRPr="00901192">
        <w:rPr>
          <w:rFonts w:ascii="Verdana" w:hAnsi="Verdana"/>
          <w:i/>
          <w:iCs/>
          <w:color w:val="000000"/>
          <w:bdr w:val="none" w:sz="0" w:space="0" w:color="auto" w:frame="1"/>
        </w:rPr>
        <w:t>DAAs</w:t>
      </w:r>
      <w:proofErr w:type="spellEnd"/>
      <w:r w:rsidRPr="00901192">
        <w:rPr>
          <w:rFonts w:ascii="Verdana" w:hAnsi="Verdana"/>
          <w:i/>
          <w:iCs/>
          <w:color w:val="000000"/>
          <w:bdr w:val="none" w:sz="0" w:space="0" w:color="auto" w:frame="1"/>
        </w:rPr>
        <w:t xml:space="preserve"> </w:t>
      </w:r>
      <w:proofErr w:type="spellStart"/>
      <w:r w:rsidRPr="00901192">
        <w:rPr>
          <w:rFonts w:ascii="Verdana" w:hAnsi="Verdana"/>
          <w:i/>
          <w:iCs/>
          <w:color w:val="000000"/>
          <w:bdr w:val="none" w:sz="0" w:space="0" w:color="auto" w:frame="1"/>
        </w:rPr>
        <w:t>or</w:t>
      </w:r>
      <w:proofErr w:type="spellEnd"/>
      <w:r w:rsidRPr="00901192">
        <w:rPr>
          <w:rFonts w:ascii="Verdana" w:hAnsi="Verdana"/>
          <w:i/>
          <w:iCs/>
          <w:color w:val="000000"/>
          <w:bdr w:val="none" w:sz="0" w:space="0" w:color="auto" w:frame="1"/>
        </w:rPr>
        <w:t xml:space="preserve"> </w:t>
      </w:r>
      <w:proofErr w:type="spellStart"/>
      <w:r w:rsidRPr="00901192">
        <w:rPr>
          <w:rFonts w:ascii="Verdana" w:hAnsi="Verdana"/>
          <w:i/>
          <w:iCs/>
          <w:color w:val="000000"/>
          <w:bdr w:val="none" w:sz="0" w:space="0" w:color="auto" w:frame="1"/>
        </w:rPr>
        <w:t>spontaneous</w:t>
      </w:r>
      <w:proofErr w:type="spellEnd"/>
      <w:r w:rsidRPr="00901192">
        <w:rPr>
          <w:rFonts w:ascii="Verdana" w:hAnsi="Verdana"/>
          <w:i/>
          <w:iCs/>
          <w:color w:val="000000"/>
          <w:bdr w:val="none" w:sz="0" w:space="0" w:color="auto" w:frame="1"/>
        </w:rPr>
        <w:t xml:space="preserve"> </w:t>
      </w:r>
      <w:proofErr w:type="spellStart"/>
      <w:r w:rsidRPr="00901192">
        <w:rPr>
          <w:rFonts w:ascii="Verdana" w:hAnsi="Verdana"/>
          <w:i/>
          <w:iCs/>
          <w:color w:val="000000"/>
          <w:bdr w:val="none" w:sz="0" w:space="0" w:color="auto" w:frame="1"/>
        </w:rPr>
        <w:t>clearance</w:t>
      </w:r>
      <w:proofErr w:type="spellEnd"/>
      <w:r w:rsidRPr="00901192">
        <w:rPr>
          <w:rFonts w:ascii="Verdana" w:hAnsi="Verdana"/>
          <w:i/>
          <w:iCs/>
          <w:color w:val="000000"/>
          <w:bdr w:val="none" w:sz="0" w:space="0" w:color="auto" w:frame="1"/>
        </w:rPr>
        <w:t xml:space="preserve">. J. </w:t>
      </w:r>
      <w:proofErr w:type="spellStart"/>
      <w:r w:rsidRPr="00901192">
        <w:rPr>
          <w:rFonts w:ascii="Verdana" w:hAnsi="Verdana"/>
          <w:i/>
          <w:iCs/>
          <w:color w:val="000000"/>
          <w:bdr w:val="none" w:sz="0" w:space="0" w:color="auto" w:frame="1"/>
        </w:rPr>
        <w:t>Clin</w:t>
      </w:r>
      <w:proofErr w:type="spellEnd"/>
      <w:r w:rsidRPr="00901192">
        <w:rPr>
          <w:rFonts w:ascii="Verdana" w:hAnsi="Verdana"/>
          <w:i/>
          <w:iCs/>
          <w:color w:val="000000"/>
          <w:bdr w:val="none" w:sz="0" w:space="0" w:color="auto" w:frame="1"/>
        </w:rPr>
        <w:t xml:space="preserve">. </w:t>
      </w:r>
      <w:proofErr w:type="spellStart"/>
      <w:r w:rsidRPr="00901192">
        <w:rPr>
          <w:rFonts w:ascii="Verdana" w:hAnsi="Verdana"/>
          <w:i/>
          <w:iCs/>
          <w:color w:val="000000"/>
          <w:bdr w:val="none" w:sz="0" w:space="0" w:color="auto" w:frame="1"/>
        </w:rPr>
        <w:t>Med</w:t>
      </w:r>
      <w:proofErr w:type="spellEnd"/>
      <w:r w:rsidRPr="00901192">
        <w:rPr>
          <w:rFonts w:ascii="Verdana" w:hAnsi="Verdana"/>
          <w:i/>
          <w:iCs/>
          <w:color w:val="000000"/>
          <w:bdr w:val="none" w:sz="0" w:space="0" w:color="auto" w:frame="1"/>
        </w:rPr>
        <w:t>. 2022, 11(13), 3579. https://www.mdpi.com/2077-0383/11/13/3579/htm</w:t>
      </w:r>
    </w:p>
    <w:p w:rsidR="00485989" w:rsidRDefault="00485989" w:rsidP="00485989">
      <w:pPr>
        <w:spacing w:before="300" w:after="150" w:line="240" w:lineRule="auto"/>
        <w:outlineLvl w:val="0"/>
        <w:rPr>
          <w:rFonts w:ascii="Verdana" w:eastAsia="Times New Roman" w:hAnsi="Verdana" w:cs="Segoe UI Light"/>
          <w:bCs/>
          <w:kern w:val="36"/>
          <w:sz w:val="28"/>
          <w:szCs w:val="28"/>
          <w:lang w:eastAsia="es-ES"/>
        </w:rPr>
      </w:pPr>
    </w:p>
    <w:sectPr w:rsidR="0048598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Light">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6121"/>
    <w:rsid w:val="002A5D1A"/>
    <w:rsid w:val="00485989"/>
    <w:rsid w:val="005A6A1B"/>
    <w:rsid w:val="00703240"/>
    <w:rsid w:val="00896121"/>
    <w:rsid w:val="00901192"/>
    <w:rsid w:val="00E3451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8E499"/>
  <w15:chartTrackingRefBased/>
  <w15:docId w15:val="{F61DD444-5D36-4F3B-89A6-B4D90A854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0119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3">
    <w:name w:val="heading 3"/>
    <w:basedOn w:val="Normal"/>
    <w:next w:val="Normal"/>
    <w:link w:val="Ttulo3Car"/>
    <w:uiPriority w:val="9"/>
    <w:semiHidden/>
    <w:unhideWhenUsed/>
    <w:qFormat/>
    <w:rsid w:val="0090119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3451E"/>
    <w:rPr>
      <w:color w:val="0563C1" w:themeColor="hyperlink"/>
      <w:u w:val="single"/>
    </w:rPr>
  </w:style>
  <w:style w:type="character" w:customStyle="1" w:styleId="Ttulo1Car">
    <w:name w:val="Título 1 Car"/>
    <w:basedOn w:val="Fuentedeprrafopredeter"/>
    <w:link w:val="Ttulo1"/>
    <w:uiPriority w:val="9"/>
    <w:rsid w:val="00901192"/>
    <w:rPr>
      <w:rFonts w:ascii="Times New Roman" w:eastAsia="Times New Roman" w:hAnsi="Times New Roman" w:cs="Times New Roman"/>
      <w:b/>
      <w:bCs/>
      <w:kern w:val="36"/>
      <w:sz w:val="48"/>
      <w:szCs w:val="48"/>
      <w:lang w:eastAsia="es-ES"/>
    </w:rPr>
  </w:style>
  <w:style w:type="character" w:customStyle="1" w:styleId="Ttulo3Car">
    <w:name w:val="Título 3 Car"/>
    <w:basedOn w:val="Fuentedeprrafopredeter"/>
    <w:link w:val="Ttulo3"/>
    <w:uiPriority w:val="9"/>
    <w:semiHidden/>
    <w:rsid w:val="00901192"/>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90119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90119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904417">
      <w:bodyDiv w:val="1"/>
      <w:marLeft w:val="0"/>
      <w:marRight w:val="0"/>
      <w:marTop w:val="0"/>
      <w:marBottom w:val="0"/>
      <w:divBdr>
        <w:top w:val="none" w:sz="0" w:space="0" w:color="auto"/>
        <w:left w:val="none" w:sz="0" w:space="0" w:color="auto"/>
        <w:bottom w:val="none" w:sz="0" w:space="0" w:color="auto"/>
        <w:right w:val="none" w:sz="0" w:space="0" w:color="auto"/>
      </w:divBdr>
      <w:divsChild>
        <w:div w:id="265041330">
          <w:marLeft w:val="0"/>
          <w:marRight w:val="0"/>
          <w:marTop w:val="0"/>
          <w:marBottom w:val="0"/>
          <w:divBdr>
            <w:top w:val="none" w:sz="0" w:space="0" w:color="auto"/>
            <w:left w:val="none" w:sz="0" w:space="0" w:color="auto"/>
            <w:bottom w:val="none" w:sz="0" w:space="0" w:color="auto"/>
            <w:right w:val="none" w:sz="0" w:space="0" w:color="auto"/>
          </w:divBdr>
          <w:divsChild>
            <w:div w:id="1719012019">
              <w:marLeft w:val="0"/>
              <w:marRight w:val="0"/>
              <w:marTop w:val="0"/>
              <w:marBottom w:val="0"/>
              <w:divBdr>
                <w:top w:val="none" w:sz="0" w:space="0" w:color="auto"/>
                <w:left w:val="none" w:sz="0" w:space="0" w:color="auto"/>
                <w:bottom w:val="none" w:sz="0" w:space="0" w:color="auto"/>
                <w:right w:val="none" w:sz="0" w:space="0" w:color="auto"/>
              </w:divBdr>
              <w:divsChild>
                <w:div w:id="446588604">
                  <w:marLeft w:val="0"/>
                  <w:marRight w:val="0"/>
                  <w:marTop w:val="0"/>
                  <w:marBottom w:val="0"/>
                  <w:divBdr>
                    <w:top w:val="none" w:sz="0" w:space="0" w:color="auto"/>
                    <w:left w:val="none" w:sz="0" w:space="0" w:color="auto"/>
                    <w:bottom w:val="none" w:sz="0" w:space="0" w:color="auto"/>
                    <w:right w:val="none" w:sz="0" w:space="0" w:color="auto"/>
                  </w:divBdr>
                  <w:divsChild>
                    <w:div w:id="434373306">
                      <w:marLeft w:val="0"/>
                      <w:marRight w:val="0"/>
                      <w:marTop w:val="0"/>
                      <w:marBottom w:val="0"/>
                      <w:divBdr>
                        <w:top w:val="none" w:sz="0" w:space="0" w:color="auto"/>
                        <w:left w:val="none" w:sz="0" w:space="0" w:color="auto"/>
                        <w:bottom w:val="none" w:sz="0" w:space="0" w:color="auto"/>
                        <w:right w:val="none" w:sz="0" w:space="0" w:color="auto"/>
                      </w:divBdr>
                      <w:divsChild>
                        <w:div w:id="798762751">
                          <w:marLeft w:val="0"/>
                          <w:marRight w:val="0"/>
                          <w:marTop w:val="0"/>
                          <w:marBottom w:val="0"/>
                          <w:divBdr>
                            <w:top w:val="none" w:sz="0" w:space="0" w:color="auto"/>
                            <w:left w:val="none" w:sz="0" w:space="0" w:color="auto"/>
                            <w:bottom w:val="none" w:sz="0" w:space="0" w:color="auto"/>
                            <w:right w:val="none" w:sz="0" w:space="0" w:color="auto"/>
                          </w:divBdr>
                          <w:divsChild>
                            <w:div w:id="1587180430">
                              <w:marLeft w:val="0"/>
                              <w:marRight w:val="0"/>
                              <w:marTop w:val="240"/>
                              <w:marBottom w:val="0"/>
                              <w:divBdr>
                                <w:top w:val="none" w:sz="0" w:space="0" w:color="auto"/>
                                <w:left w:val="none" w:sz="0" w:space="0" w:color="auto"/>
                                <w:bottom w:val="none" w:sz="0" w:space="0" w:color="auto"/>
                                <w:right w:val="none" w:sz="0" w:space="0" w:color="auto"/>
                              </w:divBdr>
                              <w:divsChild>
                                <w:div w:id="389160691">
                                  <w:marLeft w:val="0"/>
                                  <w:marRight w:val="0"/>
                                  <w:marTop w:val="0"/>
                                  <w:marBottom w:val="0"/>
                                  <w:divBdr>
                                    <w:top w:val="none" w:sz="0" w:space="0" w:color="auto"/>
                                    <w:left w:val="none" w:sz="0" w:space="0" w:color="auto"/>
                                    <w:bottom w:val="none" w:sz="0" w:space="0" w:color="auto"/>
                                    <w:right w:val="none" w:sz="0" w:space="0" w:color="auto"/>
                                  </w:divBdr>
                                  <w:divsChild>
                                    <w:div w:id="398132977">
                                      <w:marLeft w:val="0"/>
                                      <w:marRight w:val="0"/>
                                      <w:marTop w:val="0"/>
                                      <w:marBottom w:val="0"/>
                                      <w:divBdr>
                                        <w:top w:val="none" w:sz="0" w:space="0" w:color="auto"/>
                                        <w:left w:val="none" w:sz="0" w:space="0" w:color="auto"/>
                                        <w:bottom w:val="none" w:sz="0" w:space="0" w:color="auto"/>
                                        <w:right w:val="none" w:sz="0" w:space="0" w:color="auto"/>
                                      </w:divBdr>
                                      <w:divsChild>
                                        <w:div w:id="411314089">
                                          <w:marLeft w:val="0"/>
                                          <w:marRight w:val="0"/>
                                          <w:marTop w:val="0"/>
                                          <w:marBottom w:val="0"/>
                                          <w:divBdr>
                                            <w:top w:val="none" w:sz="0" w:space="0" w:color="auto"/>
                                            <w:left w:val="none" w:sz="0" w:space="0" w:color="auto"/>
                                            <w:bottom w:val="none" w:sz="0" w:space="0" w:color="auto"/>
                                            <w:right w:val="none" w:sz="0" w:space="0" w:color="auto"/>
                                          </w:divBdr>
                                        </w:div>
                                        <w:div w:id="699011582">
                                          <w:marLeft w:val="0"/>
                                          <w:marRight w:val="0"/>
                                          <w:marTop w:val="0"/>
                                          <w:marBottom w:val="0"/>
                                          <w:divBdr>
                                            <w:top w:val="none" w:sz="0" w:space="0" w:color="auto"/>
                                            <w:left w:val="none" w:sz="0" w:space="0" w:color="auto"/>
                                            <w:bottom w:val="none" w:sz="0" w:space="0" w:color="auto"/>
                                            <w:right w:val="none" w:sz="0" w:space="0" w:color="auto"/>
                                          </w:divBdr>
                                          <w:divsChild>
                                            <w:div w:id="235558924">
                                              <w:marLeft w:val="0"/>
                                              <w:marRight w:val="0"/>
                                              <w:marTop w:val="0"/>
                                              <w:marBottom w:val="0"/>
                                              <w:divBdr>
                                                <w:top w:val="none" w:sz="0" w:space="0" w:color="auto"/>
                                                <w:left w:val="none" w:sz="0" w:space="0" w:color="auto"/>
                                                <w:bottom w:val="none" w:sz="0" w:space="0" w:color="auto"/>
                                                <w:right w:val="none" w:sz="0" w:space="0" w:color="auto"/>
                                              </w:divBdr>
                                            </w:div>
                                            <w:div w:id="819658916">
                                              <w:marLeft w:val="0"/>
                                              <w:marRight w:val="0"/>
                                              <w:marTop w:val="0"/>
                                              <w:marBottom w:val="0"/>
                                              <w:divBdr>
                                                <w:top w:val="none" w:sz="0" w:space="0" w:color="auto"/>
                                                <w:left w:val="none" w:sz="0" w:space="0" w:color="auto"/>
                                                <w:bottom w:val="none" w:sz="0" w:space="0" w:color="auto"/>
                                                <w:right w:val="none" w:sz="0" w:space="0" w:color="auto"/>
                                              </w:divBdr>
                                              <w:divsChild>
                                                <w:div w:id="159948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756081">
                                          <w:marLeft w:val="0"/>
                                          <w:marRight w:val="0"/>
                                          <w:marTop w:val="0"/>
                                          <w:marBottom w:val="0"/>
                                          <w:divBdr>
                                            <w:top w:val="none" w:sz="0" w:space="0" w:color="auto"/>
                                            <w:left w:val="none" w:sz="0" w:space="0" w:color="auto"/>
                                            <w:bottom w:val="none" w:sz="0" w:space="0" w:color="auto"/>
                                            <w:right w:val="none" w:sz="0" w:space="0" w:color="auto"/>
                                          </w:divBdr>
                                          <w:divsChild>
                                            <w:div w:id="1330451340">
                                              <w:marLeft w:val="0"/>
                                              <w:marRight w:val="0"/>
                                              <w:marTop w:val="0"/>
                                              <w:marBottom w:val="0"/>
                                              <w:divBdr>
                                                <w:top w:val="none" w:sz="0" w:space="0" w:color="auto"/>
                                                <w:left w:val="none" w:sz="0" w:space="0" w:color="auto"/>
                                                <w:bottom w:val="none" w:sz="0" w:space="0" w:color="auto"/>
                                                <w:right w:val="none" w:sz="0" w:space="0" w:color="auto"/>
                                              </w:divBdr>
                                            </w:div>
                                            <w:div w:id="1803770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301566">
                                      <w:marLeft w:val="0"/>
                                      <w:marRight w:val="0"/>
                                      <w:marTop w:val="75"/>
                                      <w:marBottom w:val="0"/>
                                      <w:divBdr>
                                        <w:top w:val="none" w:sz="0" w:space="0" w:color="auto"/>
                                        <w:left w:val="none" w:sz="0" w:space="0" w:color="auto"/>
                                        <w:bottom w:val="none" w:sz="0" w:space="0" w:color="auto"/>
                                        <w:right w:val="none" w:sz="0" w:space="0" w:color="auto"/>
                                      </w:divBdr>
                                      <w:divsChild>
                                        <w:div w:id="1252355777">
                                          <w:marLeft w:val="0"/>
                                          <w:marRight w:val="0"/>
                                          <w:marTop w:val="0"/>
                                          <w:marBottom w:val="0"/>
                                          <w:divBdr>
                                            <w:top w:val="none" w:sz="0" w:space="0" w:color="auto"/>
                                            <w:left w:val="none" w:sz="0" w:space="0" w:color="auto"/>
                                            <w:bottom w:val="none" w:sz="0" w:space="0" w:color="auto"/>
                                            <w:right w:val="none" w:sz="0" w:space="0" w:color="auto"/>
                                          </w:divBdr>
                                        </w:div>
                                        <w:div w:id="38845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5000195">
      <w:bodyDiv w:val="1"/>
      <w:marLeft w:val="0"/>
      <w:marRight w:val="0"/>
      <w:marTop w:val="0"/>
      <w:marBottom w:val="0"/>
      <w:divBdr>
        <w:top w:val="none" w:sz="0" w:space="0" w:color="auto"/>
        <w:left w:val="none" w:sz="0" w:space="0" w:color="auto"/>
        <w:bottom w:val="none" w:sz="0" w:space="0" w:color="auto"/>
        <w:right w:val="none" w:sz="0" w:space="0" w:color="auto"/>
      </w:divBdr>
    </w:div>
    <w:div w:id="1417365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mdpi.com/2077-0383/11/13/3579/ht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https://www.mdpi.com/2077-0383/11/13/3579/htm"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752</Words>
  <Characters>4136</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HERNANDEZ VILLEGAS</dc:creator>
  <cp:keywords/>
  <dc:description/>
  <cp:lastModifiedBy>SILVIA HERNANDEZ VILLEGAS</cp:lastModifiedBy>
  <cp:revision>2</cp:revision>
  <dcterms:created xsi:type="dcterms:W3CDTF">2022-08-01T10:11:00Z</dcterms:created>
  <dcterms:modified xsi:type="dcterms:W3CDTF">2022-08-01T10:11:00Z</dcterms:modified>
</cp:coreProperties>
</file>