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F3412D" w14:textId="77777777" w:rsidR="00A925E0" w:rsidRPr="00A925E0" w:rsidRDefault="00A925E0" w:rsidP="00A925E0">
      <w:pPr>
        <w:spacing w:before="100" w:beforeAutospacing="1" w:after="100" w:afterAutospacing="1" w:line="240" w:lineRule="auto"/>
        <w:outlineLvl w:val="4"/>
        <w:rPr>
          <w:rFonts w:ascii="Times New Roman" w:eastAsia="Times New Roman" w:hAnsi="Times New Roman" w:cs="Times New Roman"/>
          <w:b/>
          <w:bCs/>
          <w:kern w:val="0"/>
          <w:sz w:val="20"/>
          <w:szCs w:val="20"/>
          <w:lang w:val="en-GB" w:eastAsia="es-ES"/>
          <w14:ligatures w14:val="none"/>
        </w:rPr>
      </w:pPr>
      <w:r w:rsidRPr="00A925E0">
        <w:rPr>
          <w:rFonts w:ascii="Times New Roman" w:eastAsia="Times New Roman" w:hAnsi="Times New Roman" w:cs="Times New Roman"/>
          <w:b/>
          <w:bCs/>
          <w:kern w:val="0"/>
          <w:sz w:val="20"/>
          <w:szCs w:val="20"/>
          <w:lang w:val="en-GB" w:eastAsia="es-ES"/>
          <w14:ligatures w14:val="none"/>
        </w:rPr>
        <w:t xml:space="preserve">Research Paper </w:t>
      </w:r>
      <w:hyperlink r:id="rId5" w:history="1">
        <w:r w:rsidRPr="00A925E0">
          <w:rPr>
            <w:rFonts w:ascii="Times New Roman" w:eastAsia="Times New Roman" w:hAnsi="Times New Roman" w:cs="Times New Roman"/>
            <w:b/>
            <w:bCs/>
            <w:color w:val="0000FF"/>
            <w:kern w:val="0"/>
            <w:sz w:val="20"/>
            <w:szCs w:val="20"/>
            <w:u w:val="single"/>
            <w:lang w:val="en-GB" w:eastAsia="es-ES"/>
            <w14:ligatures w14:val="none"/>
          </w:rPr>
          <w:t>Volume 15, Issue 6</w:t>
        </w:r>
      </w:hyperlink>
      <w:r w:rsidRPr="00A925E0">
        <w:rPr>
          <w:rFonts w:ascii="Times New Roman" w:eastAsia="Times New Roman" w:hAnsi="Times New Roman" w:cs="Times New Roman"/>
          <w:b/>
          <w:bCs/>
          <w:kern w:val="0"/>
          <w:sz w:val="20"/>
          <w:szCs w:val="20"/>
          <w:lang w:val="en-GB" w:eastAsia="es-ES"/>
          <w14:ligatures w14:val="none"/>
        </w:rPr>
        <w:t xml:space="preserve"> pp 1791—1807 </w:t>
      </w:r>
    </w:p>
    <w:p w14:paraId="1B1845D3" w14:textId="77777777" w:rsidR="00A925E0" w:rsidRPr="00A925E0" w:rsidRDefault="00A925E0" w:rsidP="00A925E0">
      <w:pPr>
        <w:spacing w:before="100" w:beforeAutospacing="1" w:after="100" w:afterAutospacing="1" w:line="240" w:lineRule="auto"/>
        <w:outlineLvl w:val="0"/>
        <w:rPr>
          <w:rFonts w:ascii="Times New Roman" w:eastAsia="Times New Roman" w:hAnsi="Times New Roman" w:cs="Times New Roman"/>
          <w:b/>
          <w:bCs/>
          <w:kern w:val="36"/>
          <w:sz w:val="48"/>
          <w:szCs w:val="48"/>
          <w:lang w:val="en-GB" w:eastAsia="es-ES"/>
          <w14:ligatures w14:val="none"/>
        </w:rPr>
      </w:pPr>
      <w:r w:rsidRPr="00A925E0">
        <w:rPr>
          <w:rFonts w:ascii="Times New Roman" w:eastAsia="Times New Roman" w:hAnsi="Times New Roman" w:cs="Times New Roman"/>
          <w:b/>
          <w:bCs/>
          <w:kern w:val="36"/>
          <w:sz w:val="48"/>
          <w:szCs w:val="48"/>
          <w:lang w:val="en-GB" w:eastAsia="es-ES"/>
          <w14:ligatures w14:val="none"/>
        </w:rPr>
        <w:t>PD-L1</w:t>
      </w:r>
      <w:r w:rsidRPr="00A925E0">
        <w:rPr>
          <w:rFonts w:ascii="Times New Roman" w:eastAsia="Times New Roman" w:hAnsi="Times New Roman" w:cs="Times New Roman"/>
          <w:b/>
          <w:bCs/>
          <w:kern w:val="36"/>
          <w:sz w:val="48"/>
          <w:szCs w:val="48"/>
          <w:vertAlign w:val="superscript"/>
          <w:lang w:val="en-GB" w:eastAsia="es-ES"/>
          <w14:ligatures w14:val="none"/>
        </w:rPr>
        <w:t>ATTAC</w:t>
      </w:r>
      <w:r w:rsidRPr="00A925E0">
        <w:rPr>
          <w:rFonts w:ascii="Times New Roman" w:eastAsia="Times New Roman" w:hAnsi="Times New Roman" w:cs="Times New Roman"/>
          <w:b/>
          <w:bCs/>
          <w:kern w:val="36"/>
          <w:sz w:val="48"/>
          <w:szCs w:val="48"/>
          <w:lang w:val="en-GB" w:eastAsia="es-ES"/>
          <w14:ligatures w14:val="none"/>
        </w:rPr>
        <w:t xml:space="preserve"> mice reveal the potential of depleting PD-L1 expressing cells in cancer therapy </w:t>
      </w:r>
    </w:p>
    <w:p w14:paraId="0D3B677A" w14:textId="77777777" w:rsidR="00A925E0" w:rsidRPr="00A925E0" w:rsidRDefault="00A925E0" w:rsidP="00A925E0">
      <w:pPr>
        <w:spacing w:before="100" w:beforeAutospacing="1" w:after="100" w:afterAutospacing="1" w:line="240" w:lineRule="auto"/>
        <w:outlineLvl w:val="3"/>
        <w:rPr>
          <w:rFonts w:ascii="Times New Roman" w:eastAsia="Times New Roman" w:hAnsi="Times New Roman" w:cs="Times New Roman"/>
          <w:b/>
          <w:bCs/>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Elena Fueyo-Marcos</w:t>
      </w:r>
      <w:hyperlink r:id="rId6" w:history="1">
        <w:r w:rsidRPr="00A925E0">
          <w:rPr>
            <w:rFonts w:ascii="Times New Roman" w:eastAsia="Times New Roman" w:hAnsi="Times New Roman" w:cs="Times New Roman"/>
            <w:b/>
            <w:bCs/>
            <w:color w:val="0000FF"/>
            <w:kern w:val="0"/>
            <w:sz w:val="24"/>
            <w:szCs w:val="24"/>
            <w:u w:val="single"/>
            <w:vertAlign w:val="superscript"/>
            <w:lang w:eastAsia="es-ES"/>
            <w14:ligatures w14:val="none"/>
          </w:rPr>
          <w:t>1</w:t>
        </w:r>
      </w:hyperlink>
      <w:r w:rsidRPr="00A925E0">
        <w:rPr>
          <w:rFonts w:ascii="Times New Roman" w:eastAsia="Times New Roman" w:hAnsi="Times New Roman" w:cs="Times New Roman"/>
          <w:b/>
          <w:bCs/>
          <w:kern w:val="0"/>
          <w:sz w:val="24"/>
          <w:szCs w:val="24"/>
          <w:vertAlign w:val="superscript"/>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 Gema Lopez-Pernas</w:t>
      </w:r>
      <w:hyperlink r:id="rId7" w:history="1">
        <w:r w:rsidRPr="00A925E0">
          <w:rPr>
            <w:rFonts w:ascii="Times New Roman" w:eastAsia="Times New Roman" w:hAnsi="Times New Roman" w:cs="Times New Roman"/>
            <w:b/>
            <w:bCs/>
            <w:color w:val="0000FF"/>
            <w:kern w:val="0"/>
            <w:sz w:val="24"/>
            <w:szCs w:val="24"/>
            <w:u w:val="single"/>
            <w:vertAlign w:val="superscript"/>
            <w:lang w:eastAsia="es-ES"/>
            <w14:ligatures w14:val="none"/>
          </w:rPr>
          <w:t>1</w:t>
        </w:r>
      </w:hyperlink>
      <w:r w:rsidRPr="00A925E0">
        <w:rPr>
          <w:rFonts w:ascii="Times New Roman" w:eastAsia="Times New Roman" w:hAnsi="Times New Roman" w:cs="Times New Roman"/>
          <w:b/>
          <w:bCs/>
          <w:kern w:val="0"/>
          <w:sz w:val="24"/>
          <w:szCs w:val="24"/>
          <w:vertAlign w:val="superscript"/>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 Coral Fustero-Torre</w:t>
      </w:r>
      <w:hyperlink r:id="rId8" w:history="1">
        <w:r w:rsidRPr="00A925E0">
          <w:rPr>
            <w:rFonts w:ascii="Times New Roman" w:eastAsia="Times New Roman" w:hAnsi="Times New Roman" w:cs="Times New Roman"/>
            <w:b/>
            <w:bCs/>
            <w:color w:val="0000FF"/>
            <w:kern w:val="0"/>
            <w:sz w:val="24"/>
            <w:szCs w:val="24"/>
            <w:u w:val="single"/>
            <w:vertAlign w:val="superscript"/>
            <w:lang w:eastAsia="es-ES"/>
            <w14:ligatures w14:val="none"/>
          </w:rPr>
          <w:t>2</w:t>
        </w:r>
      </w:hyperlink>
      <w:r w:rsidRPr="00A925E0">
        <w:rPr>
          <w:rFonts w:ascii="Times New Roman" w:eastAsia="Times New Roman" w:hAnsi="Times New Roman" w:cs="Times New Roman"/>
          <w:b/>
          <w:bCs/>
          <w:kern w:val="0"/>
          <w:sz w:val="24"/>
          <w:szCs w:val="24"/>
          <w:vertAlign w:val="superscript"/>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 Marta Elena Antón</w:t>
      </w:r>
      <w:hyperlink r:id="rId9" w:history="1">
        <w:r w:rsidRPr="00A925E0">
          <w:rPr>
            <w:rFonts w:ascii="Times New Roman" w:eastAsia="Times New Roman" w:hAnsi="Times New Roman" w:cs="Times New Roman"/>
            <w:b/>
            <w:bCs/>
            <w:color w:val="0000FF"/>
            <w:kern w:val="0"/>
            <w:sz w:val="24"/>
            <w:szCs w:val="24"/>
            <w:u w:val="single"/>
            <w:vertAlign w:val="superscript"/>
            <w:lang w:eastAsia="es-ES"/>
            <w14:ligatures w14:val="none"/>
          </w:rPr>
          <w:t>1</w:t>
        </w:r>
      </w:hyperlink>
      <w:r w:rsidRPr="00A925E0">
        <w:rPr>
          <w:rFonts w:ascii="Times New Roman" w:eastAsia="Times New Roman" w:hAnsi="Times New Roman" w:cs="Times New Roman"/>
          <w:b/>
          <w:bCs/>
          <w:kern w:val="0"/>
          <w:sz w:val="24"/>
          <w:szCs w:val="24"/>
          <w:vertAlign w:val="superscript"/>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 Fátima Al-Shahrour</w:t>
      </w:r>
      <w:hyperlink r:id="rId10" w:history="1">
        <w:r w:rsidRPr="00A925E0">
          <w:rPr>
            <w:rFonts w:ascii="Times New Roman" w:eastAsia="Times New Roman" w:hAnsi="Times New Roman" w:cs="Times New Roman"/>
            <w:b/>
            <w:bCs/>
            <w:color w:val="0000FF"/>
            <w:kern w:val="0"/>
            <w:sz w:val="24"/>
            <w:szCs w:val="24"/>
            <w:u w:val="single"/>
            <w:vertAlign w:val="superscript"/>
            <w:lang w:eastAsia="es-ES"/>
            <w14:ligatures w14:val="none"/>
          </w:rPr>
          <w:t>2</w:t>
        </w:r>
      </w:hyperlink>
      <w:r w:rsidRPr="00A925E0">
        <w:rPr>
          <w:rFonts w:ascii="Times New Roman" w:eastAsia="Times New Roman" w:hAnsi="Times New Roman" w:cs="Times New Roman"/>
          <w:b/>
          <w:bCs/>
          <w:kern w:val="0"/>
          <w:sz w:val="24"/>
          <w:szCs w:val="24"/>
          <w:vertAlign w:val="superscript"/>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 Oscar Fernández-Capetillo</w:t>
      </w:r>
      <w:hyperlink r:id="rId11" w:history="1">
        <w:r w:rsidRPr="00A925E0">
          <w:rPr>
            <w:rFonts w:ascii="Times New Roman" w:eastAsia="Times New Roman" w:hAnsi="Times New Roman" w:cs="Times New Roman"/>
            <w:b/>
            <w:bCs/>
            <w:color w:val="0000FF"/>
            <w:kern w:val="0"/>
            <w:sz w:val="24"/>
            <w:szCs w:val="24"/>
            <w:u w:val="single"/>
            <w:vertAlign w:val="superscript"/>
            <w:lang w:eastAsia="es-ES"/>
            <w14:ligatures w14:val="none"/>
          </w:rPr>
          <w:t>1</w:t>
        </w:r>
      </w:hyperlink>
      <w:r w:rsidRPr="00A925E0">
        <w:rPr>
          <w:rFonts w:ascii="Times New Roman" w:eastAsia="Times New Roman" w:hAnsi="Times New Roman" w:cs="Times New Roman"/>
          <w:b/>
          <w:bCs/>
          <w:kern w:val="0"/>
          <w:sz w:val="24"/>
          <w:szCs w:val="24"/>
          <w:vertAlign w:val="superscript"/>
          <w:lang w:eastAsia="es-ES"/>
          <w14:ligatures w14:val="none"/>
        </w:rPr>
        <w:t>,</w:t>
      </w:r>
      <w:hyperlink r:id="rId12" w:history="1">
        <w:r w:rsidRPr="00A925E0">
          <w:rPr>
            <w:rFonts w:ascii="Times New Roman" w:eastAsia="Times New Roman" w:hAnsi="Times New Roman" w:cs="Times New Roman"/>
            <w:b/>
            <w:bCs/>
            <w:color w:val="0000FF"/>
            <w:kern w:val="0"/>
            <w:sz w:val="24"/>
            <w:szCs w:val="24"/>
            <w:u w:val="single"/>
            <w:vertAlign w:val="superscript"/>
            <w:lang w:eastAsia="es-ES"/>
            <w14:ligatures w14:val="none"/>
          </w:rPr>
          <w:t>3</w:t>
        </w:r>
      </w:hyperlink>
      <w:r w:rsidRPr="00A925E0">
        <w:rPr>
          <w:rFonts w:ascii="Times New Roman" w:eastAsia="Times New Roman" w:hAnsi="Times New Roman" w:cs="Times New Roman"/>
          <w:b/>
          <w:bCs/>
          <w:kern w:val="0"/>
          <w:sz w:val="24"/>
          <w:szCs w:val="24"/>
          <w:vertAlign w:val="superscript"/>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 Matilde Murga</w:t>
      </w:r>
      <w:hyperlink r:id="rId13" w:history="1">
        <w:r w:rsidRPr="00A925E0">
          <w:rPr>
            <w:rFonts w:ascii="Times New Roman" w:eastAsia="Times New Roman" w:hAnsi="Times New Roman" w:cs="Times New Roman"/>
            <w:b/>
            <w:bCs/>
            <w:color w:val="0000FF"/>
            <w:kern w:val="0"/>
            <w:sz w:val="24"/>
            <w:szCs w:val="24"/>
            <w:u w:val="single"/>
            <w:vertAlign w:val="superscript"/>
            <w:lang w:eastAsia="es-ES"/>
            <w14:ligatures w14:val="none"/>
          </w:rPr>
          <w:t>1</w:t>
        </w:r>
      </w:hyperlink>
      <w:r w:rsidRPr="00A925E0">
        <w:rPr>
          <w:rFonts w:ascii="Times New Roman" w:eastAsia="Times New Roman" w:hAnsi="Times New Roman" w:cs="Times New Roman"/>
          <w:b/>
          <w:bCs/>
          <w:kern w:val="0"/>
          <w:sz w:val="24"/>
          <w:szCs w:val="24"/>
          <w:vertAlign w:val="superscript"/>
          <w:lang w:eastAsia="es-ES"/>
          <w14:ligatures w14:val="none"/>
        </w:rPr>
        <w:t xml:space="preserve"> </w:t>
      </w:r>
    </w:p>
    <w:p w14:paraId="3AFD7329" w14:textId="77777777" w:rsidR="00A925E0" w:rsidRPr="00A925E0" w:rsidRDefault="00A925E0" w:rsidP="00A925E0">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vertAlign w:val="superscript"/>
          <w:lang w:val="en-GB" w:eastAsia="es-ES"/>
          <w14:ligatures w14:val="none"/>
        </w:rPr>
        <w:t>1</w:t>
      </w:r>
      <w:r w:rsidRPr="00A925E0">
        <w:rPr>
          <w:rFonts w:ascii="Times New Roman" w:eastAsia="Times New Roman" w:hAnsi="Times New Roman" w:cs="Times New Roman"/>
          <w:kern w:val="0"/>
          <w:sz w:val="24"/>
          <w:szCs w:val="24"/>
          <w:lang w:val="en-GB" w:eastAsia="es-ES"/>
          <w14:ligatures w14:val="none"/>
        </w:rPr>
        <w:t xml:space="preserve"> Genomic Instability Group, Spanish National Cancer Research Centre (CNIO), Madrid 28029, Spain </w:t>
      </w:r>
    </w:p>
    <w:p w14:paraId="2837BC72" w14:textId="77777777" w:rsidR="00A925E0" w:rsidRPr="00A925E0" w:rsidRDefault="00A925E0" w:rsidP="00A925E0">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vertAlign w:val="superscript"/>
          <w:lang w:val="en-GB" w:eastAsia="es-ES"/>
          <w14:ligatures w14:val="none"/>
        </w:rPr>
        <w:t>2</w:t>
      </w:r>
      <w:r w:rsidRPr="00A925E0">
        <w:rPr>
          <w:rFonts w:ascii="Times New Roman" w:eastAsia="Times New Roman" w:hAnsi="Times New Roman" w:cs="Times New Roman"/>
          <w:kern w:val="0"/>
          <w:sz w:val="24"/>
          <w:szCs w:val="24"/>
          <w:lang w:val="en-GB" w:eastAsia="es-ES"/>
          <w14:ligatures w14:val="none"/>
        </w:rPr>
        <w:t xml:space="preserve"> Bioinformatics Unit, Spanish National Cancer Research Centre (CNIO), Madrid 28029, Spain </w:t>
      </w:r>
    </w:p>
    <w:p w14:paraId="7D451F00" w14:textId="77777777" w:rsidR="00A925E0" w:rsidRPr="00A925E0" w:rsidRDefault="00A925E0" w:rsidP="00A925E0">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vertAlign w:val="superscript"/>
          <w:lang w:val="en-GB" w:eastAsia="es-ES"/>
          <w14:ligatures w14:val="none"/>
        </w:rPr>
        <w:t>3</w:t>
      </w:r>
      <w:r w:rsidRPr="00A925E0">
        <w:rPr>
          <w:rFonts w:ascii="Times New Roman" w:eastAsia="Times New Roman" w:hAnsi="Times New Roman" w:cs="Times New Roman"/>
          <w:kern w:val="0"/>
          <w:sz w:val="24"/>
          <w:szCs w:val="24"/>
          <w:lang w:val="en-GB" w:eastAsia="es-ES"/>
          <w14:ligatures w14:val="none"/>
        </w:rPr>
        <w:t xml:space="preserve"> Department of Medical Biochemistry and Biophysics, Science for Life Laboratory, Division of Genome Biology, Karolinska Institute, S-171 21 Stockholm, Sweden </w:t>
      </w:r>
    </w:p>
    <w:p w14:paraId="5FC34F0A" w14:textId="77777777" w:rsidR="00A925E0" w:rsidRPr="00A925E0" w:rsidRDefault="00A925E0" w:rsidP="00A925E0">
      <w:pPr>
        <w:spacing w:before="100" w:beforeAutospacing="1" w:after="100" w:afterAutospacing="1" w:line="240" w:lineRule="auto"/>
        <w:outlineLvl w:val="3"/>
        <w:rPr>
          <w:rFonts w:ascii="Times New Roman" w:eastAsia="Times New Roman" w:hAnsi="Times New Roman" w:cs="Times New Roman"/>
          <w:b/>
          <w:bCs/>
          <w:kern w:val="0"/>
          <w:sz w:val="24"/>
          <w:szCs w:val="24"/>
          <w:lang w:val="en-GB" w:eastAsia="es-ES"/>
          <w14:ligatures w14:val="none"/>
        </w:rPr>
      </w:pPr>
      <w:r w:rsidRPr="00A925E0">
        <w:rPr>
          <w:rFonts w:ascii="Times New Roman" w:eastAsia="Times New Roman" w:hAnsi="Times New Roman" w:cs="Times New Roman"/>
          <w:b/>
          <w:bCs/>
          <w:kern w:val="0"/>
          <w:sz w:val="24"/>
          <w:szCs w:val="24"/>
          <w:lang w:val="en-GB" w:eastAsia="es-ES"/>
          <w14:ligatures w14:val="none"/>
        </w:rPr>
        <w:t xml:space="preserve">Received: January 14, 2023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val="en-GB" w:eastAsia="es-ES"/>
          <w14:ligatures w14:val="none"/>
        </w:rPr>
        <w:t xml:space="preserve"> Accepted: February 27, 2023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eastAsia="es-ES"/>
          <w14:ligatures w14:val="none"/>
        </w:rPr>
        <w:t> </w:t>
      </w:r>
      <w:r w:rsidRPr="00A925E0">
        <w:rPr>
          <w:rFonts w:ascii="Times New Roman" w:eastAsia="Times New Roman" w:hAnsi="Times New Roman" w:cs="Times New Roman"/>
          <w:b/>
          <w:bCs/>
          <w:kern w:val="0"/>
          <w:sz w:val="24"/>
          <w:szCs w:val="24"/>
          <w:lang w:val="en-GB" w:eastAsia="es-ES"/>
          <w14:ligatures w14:val="none"/>
        </w:rPr>
        <w:t xml:space="preserve"> Published: March 22, 2023 </w:t>
      </w:r>
    </w:p>
    <w:p w14:paraId="62BC1F34" w14:textId="77777777" w:rsidR="00A925E0" w:rsidRPr="00A925E0" w:rsidRDefault="00A925E0" w:rsidP="00A925E0">
      <w:pPr>
        <w:spacing w:after="0" w:line="240" w:lineRule="auto"/>
        <w:rPr>
          <w:rFonts w:ascii="Times New Roman" w:eastAsia="Times New Roman" w:hAnsi="Times New Roman" w:cs="Times New Roman"/>
          <w:kern w:val="0"/>
          <w:sz w:val="24"/>
          <w:szCs w:val="24"/>
          <w:lang w:val="en-GB" w:eastAsia="es-ES"/>
          <w14:ligatures w14:val="none"/>
        </w:rPr>
      </w:pPr>
      <w:hyperlink r:id="rId14" w:history="1">
        <w:r w:rsidRPr="00A925E0">
          <w:rPr>
            <w:rFonts w:ascii="Times New Roman" w:eastAsia="Times New Roman" w:hAnsi="Times New Roman" w:cs="Times New Roman"/>
            <w:color w:val="0000FF"/>
            <w:kern w:val="0"/>
            <w:sz w:val="24"/>
            <w:szCs w:val="24"/>
            <w:u w:val="single"/>
            <w:lang w:val="en-GB" w:eastAsia="es-ES"/>
            <w14:ligatures w14:val="none"/>
          </w:rPr>
          <w:t>https://doi.org/10.18632/aging.204598</w:t>
        </w:r>
      </w:hyperlink>
      <w:r w:rsidRPr="00A925E0">
        <w:rPr>
          <w:rFonts w:ascii="Times New Roman" w:eastAsia="Times New Roman" w:hAnsi="Times New Roman" w:cs="Times New Roman"/>
          <w:kern w:val="0"/>
          <w:sz w:val="24"/>
          <w:szCs w:val="24"/>
          <w:lang w:val="en-GB" w:eastAsia="es-ES"/>
          <w14:ligatures w14:val="none"/>
        </w:rPr>
        <w:br/>
        <w:t xml:space="preserve">How to Cite </w:t>
      </w:r>
    </w:p>
    <w:p w14:paraId="6605EF4C"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lang w:val="en-GB" w:eastAsia="es-ES"/>
          <w14:ligatures w14:val="none"/>
        </w:rPr>
        <w:t xml:space="preserve">Copyright: © 2023 Fueyo-Marcos et al. This is an open access article distributed under the terms of the </w:t>
      </w:r>
      <w:hyperlink r:id="rId15" w:history="1">
        <w:r w:rsidRPr="00A925E0">
          <w:rPr>
            <w:rFonts w:ascii="Times New Roman" w:eastAsia="Times New Roman" w:hAnsi="Times New Roman" w:cs="Times New Roman"/>
            <w:color w:val="0000FF"/>
            <w:kern w:val="0"/>
            <w:sz w:val="24"/>
            <w:szCs w:val="24"/>
            <w:u w:val="single"/>
            <w:lang w:val="en-GB" w:eastAsia="es-ES"/>
            <w14:ligatures w14:val="none"/>
          </w:rPr>
          <w:t>Creative Commons Attribution License</w:t>
        </w:r>
      </w:hyperlink>
      <w:r w:rsidRPr="00A925E0">
        <w:rPr>
          <w:rFonts w:ascii="Times New Roman" w:eastAsia="Times New Roman" w:hAnsi="Times New Roman" w:cs="Times New Roman"/>
          <w:kern w:val="0"/>
          <w:sz w:val="24"/>
          <w:szCs w:val="24"/>
          <w:lang w:val="en-GB" w:eastAsia="es-ES"/>
          <w14:ligatures w14:val="none"/>
        </w:rPr>
        <w:t xml:space="preserve"> (CC BY 3.0), which permits unrestricted use, distribution, and reproduction in any medium, provided the original author and source are credited. </w:t>
      </w:r>
    </w:p>
    <w:p w14:paraId="0CBA158C"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val="en-GB" w:eastAsia="es-ES"/>
          <w14:ligatures w14:val="none"/>
        </w:rPr>
      </w:pPr>
      <w:r w:rsidRPr="00A925E0">
        <w:rPr>
          <w:rFonts w:ascii="Times New Roman" w:eastAsia="Times New Roman" w:hAnsi="Times New Roman" w:cs="Times New Roman"/>
          <w:b/>
          <w:bCs/>
          <w:kern w:val="0"/>
          <w:sz w:val="27"/>
          <w:szCs w:val="27"/>
          <w:lang w:val="en-GB" w:eastAsia="es-ES"/>
          <w14:ligatures w14:val="none"/>
        </w:rPr>
        <w:t>Abstract</w:t>
      </w:r>
    </w:p>
    <w:p w14:paraId="59D954A7"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lang w:val="en-GB" w:eastAsia="es-ES"/>
          <w14:ligatures w14:val="none"/>
        </w:rPr>
        <w:t xml:space="preserve">Antibodies targeting the PD-1 receptor and its ligand PD-L1 have shown impressive responses in some tumors of bad prognosis. We hypothesized that, since immunosuppressive cells might present several immune checkpoints on their surface, the selective elimination of PD-L1 expressing cells could be efficacious in enabling the activation of antitumoral immune responses. To address this question, we developed an inducible suicidal knock-in mouse allele of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lang w:val="en-GB" w:eastAsia="es-ES"/>
          <w14:ligatures w14:val="none"/>
        </w:rPr>
        <w:t xml:space="preserve"> (PD-L1</w:t>
      </w:r>
      <w:r w:rsidRPr="00A925E0">
        <w:rPr>
          <w:rFonts w:ascii="Times New Roman" w:eastAsia="Times New Roman" w:hAnsi="Times New Roman" w:cs="Times New Roman"/>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which allows for the tracking and specific elimination of PD-L1-expressing cells in adult tissues. Consistent with our hypothesis, elimination of PD-L1 expressing cells from the mouse peritoneum increased the septic response to lipopolysaccharide (LPS), due to an exacerbated inflammatory response to the endotoxin. In addition, mice depleted of 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kern w:val="0"/>
          <w:sz w:val="24"/>
          <w:szCs w:val="24"/>
          <w:lang w:val="en-GB" w:eastAsia="es-ES"/>
          <w14:ligatures w14:val="none"/>
        </w:rPr>
        <w:t xml:space="preserve"> cells were resistant to colon cancer peritoneal allografts, which was associated with a loss of immunosuppressive B cells and macrophages, concomitant with an increase in activated cytotoxic CD8 T cells. Collectively, these results illustrate the usefulness of PD-L1</w:t>
      </w:r>
      <w:r w:rsidRPr="00A925E0">
        <w:rPr>
          <w:rFonts w:ascii="Times New Roman" w:eastAsia="Times New Roman" w:hAnsi="Times New Roman" w:cs="Times New Roman"/>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mice for research in immunotherapy and provide genetic support to the concept of targeting PD-L1 expressing cells in cancer.</w:t>
      </w:r>
    </w:p>
    <w:p w14:paraId="01917EBC" w14:textId="77777777" w:rsidR="00A925E0" w:rsidRPr="00A925E0" w:rsidRDefault="00A925E0" w:rsidP="00A925E0">
      <w:pPr>
        <w:spacing w:before="100" w:beforeAutospacing="1" w:after="100" w:afterAutospacing="1" w:line="240" w:lineRule="auto"/>
        <w:outlineLvl w:val="1"/>
        <w:rPr>
          <w:rFonts w:ascii="Times New Roman" w:eastAsia="Times New Roman" w:hAnsi="Times New Roman" w:cs="Times New Roman"/>
          <w:b/>
          <w:bCs/>
          <w:kern w:val="0"/>
          <w:sz w:val="36"/>
          <w:szCs w:val="36"/>
          <w:lang w:val="en-GB" w:eastAsia="es-ES"/>
          <w14:ligatures w14:val="none"/>
        </w:rPr>
      </w:pPr>
      <w:r w:rsidRPr="00A925E0">
        <w:rPr>
          <w:rFonts w:ascii="Times New Roman" w:eastAsia="Times New Roman" w:hAnsi="Times New Roman" w:cs="Times New Roman"/>
          <w:b/>
          <w:bCs/>
          <w:kern w:val="0"/>
          <w:sz w:val="36"/>
          <w:szCs w:val="36"/>
          <w:lang w:val="en-GB" w:eastAsia="es-ES"/>
          <w14:ligatures w14:val="none"/>
        </w:rPr>
        <w:t>Introduction</w:t>
      </w:r>
    </w:p>
    <w:p w14:paraId="45B7B3A2"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lang w:val="en-GB" w:eastAsia="es-ES"/>
          <w14:ligatures w14:val="none"/>
        </w:rPr>
        <w:lastRenderedPageBreak/>
        <w:t>Activation of T-cells involves binding of the T cell receptor (TCR) on T cells to peptide-bound major histocompatibility complexes (MHC) on antigen presenting cells (APCs). This activating signal is modulated by membrane-bound co-stimulatory receptors that potentiate the response or by co-inhibitory receptors which limit self-damage [</w:t>
      </w:r>
      <w:hyperlink r:id="rId16" w:anchor="r1" w:history="1">
        <w:r w:rsidRPr="00A925E0">
          <w:rPr>
            <w:rFonts w:ascii="Times New Roman" w:eastAsia="Times New Roman" w:hAnsi="Times New Roman" w:cs="Times New Roman"/>
            <w:color w:val="0000FF"/>
            <w:kern w:val="0"/>
            <w:sz w:val="24"/>
            <w:szCs w:val="24"/>
            <w:u w:val="single"/>
            <w:lang w:val="en-GB" w:eastAsia="es-ES"/>
            <w14:ligatures w14:val="none"/>
          </w:rPr>
          <w:t>1</w:t>
        </w:r>
      </w:hyperlink>
      <w:r w:rsidRPr="00A925E0">
        <w:rPr>
          <w:rFonts w:ascii="Times New Roman" w:eastAsia="Times New Roman" w:hAnsi="Times New Roman" w:cs="Times New Roman"/>
          <w:kern w:val="0"/>
          <w:sz w:val="24"/>
          <w:szCs w:val="24"/>
          <w:lang w:val="en-GB" w:eastAsia="es-ES"/>
          <w14:ligatures w14:val="none"/>
        </w:rPr>
        <w:t>]. The discovery of immune checkpoint mediated by PD-1 and CTLA-4 receptors, and that targeting these pathways potentiates the antitumoral capabilities of our immune system led to the Nobel Prize in Medicine in 2018 [</w:t>
      </w:r>
      <w:hyperlink r:id="rId17" w:anchor="r2" w:history="1">
        <w:r w:rsidRPr="00A925E0">
          <w:rPr>
            <w:rFonts w:ascii="Times New Roman" w:eastAsia="Times New Roman" w:hAnsi="Times New Roman" w:cs="Times New Roman"/>
            <w:color w:val="0000FF"/>
            <w:kern w:val="0"/>
            <w:sz w:val="24"/>
            <w:szCs w:val="24"/>
            <w:u w:val="single"/>
            <w:lang w:val="en-GB" w:eastAsia="es-ES"/>
            <w14:ligatures w14:val="none"/>
          </w:rPr>
          <w:t>2</w:t>
        </w:r>
      </w:hyperlink>
      <w:r w:rsidRPr="00A925E0">
        <w:rPr>
          <w:rFonts w:ascii="Times New Roman" w:eastAsia="Times New Roman" w:hAnsi="Times New Roman" w:cs="Times New Roman"/>
          <w:kern w:val="0"/>
          <w:sz w:val="24"/>
          <w:szCs w:val="24"/>
          <w:lang w:val="en-GB" w:eastAsia="es-ES"/>
          <w14:ligatures w14:val="none"/>
        </w:rPr>
        <w:t>]. Among all cancer immunotherapy strategies, antibodies targeting the PD-1/PD-L1 interaction have been the most intensively evaluated in clinical trials and are currently approved for a wide range of malignancies including melanoma, non-small cell lung cancer, Hodgkin´s lymphoma, head and neck squamous cell carcinoma or solid tumors presenting microsatellite instability (MSI) [</w:t>
      </w:r>
      <w:hyperlink r:id="rId18" w:anchor="r3" w:history="1">
        <w:r w:rsidRPr="00A925E0">
          <w:rPr>
            <w:rFonts w:ascii="Times New Roman" w:eastAsia="Times New Roman" w:hAnsi="Times New Roman" w:cs="Times New Roman"/>
            <w:color w:val="0000FF"/>
            <w:kern w:val="0"/>
            <w:sz w:val="24"/>
            <w:szCs w:val="24"/>
            <w:u w:val="single"/>
            <w:lang w:val="en-GB" w:eastAsia="es-ES"/>
            <w14:ligatures w14:val="none"/>
          </w:rPr>
          <w:t>3</w:t>
        </w:r>
      </w:hyperlink>
      <w:r w:rsidRPr="00A925E0">
        <w:rPr>
          <w:rFonts w:ascii="Times New Roman" w:eastAsia="Times New Roman" w:hAnsi="Times New Roman" w:cs="Times New Roman"/>
          <w:kern w:val="0"/>
          <w:sz w:val="24"/>
          <w:szCs w:val="24"/>
          <w:lang w:val="en-GB" w:eastAsia="es-ES"/>
          <w14:ligatures w14:val="none"/>
        </w:rPr>
        <w:t xml:space="preserve">, </w:t>
      </w:r>
      <w:hyperlink r:id="rId19" w:anchor="r4" w:history="1">
        <w:r w:rsidRPr="00A925E0">
          <w:rPr>
            <w:rFonts w:ascii="Times New Roman" w:eastAsia="Times New Roman" w:hAnsi="Times New Roman" w:cs="Times New Roman"/>
            <w:color w:val="0000FF"/>
            <w:kern w:val="0"/>
            <w:sz w:val="24"/>
            <w:szCs w:val="24"/>
            <w:u w:val="single"/>
            <w:lang w:val="en-GB" w:eastAsia="es-ES"/>
            <w14:ligatures w14:val="none"/>
          </w:rPr>
          <w:t>4</w:t>
        </w:r>
      </w:hyperlink>
      <w:r w:rsidRPr="00A925E0">
        <w:rPr>
          <w:rFonts w:ascii="Times New Roman" w:eastAsia="Times New Roman" w:hAnsi="Times New Roman" w:cs="Times New Roman"/>
          <w:kern w:val="0"/>
          <w:sz w:val="24"/>
          <w:szCs w:val="24"/>
          <w:lang w:val="en-GB" w:eastAsia="es-ES"/>
          <w14:ligatures w14:val="none"/>
        </w:rPr>
        <w:t>]. Despite the undisputable success of this therapies, unfortunately only 20–40% of the patients respond to the therapy and even fewer show long-term responses [</w:t>
      </w:r>
      <w:hyperlink r:id="rId20" w:anchor="r5" w:history="1">
        <w:r w:rsidRPr="00A925E0">
          <w:rPr>
            <w:rFonts w:ascii="Times New Roman" w:eastAsia="Times New Roman" w:hAnsi="Times New Roman" w:cs="Times New Roman"/>
            <w:color w:val="0000FF"/>
            <w:kern w:val="0"/>
            <w:sz w:val="24"/>
            <w:szCs w:val="24"/>
            <w:u w:val="single"/>
            <w:lang w:val="en-GB" w:eastAsia="es-ES"/>
            <w14:ligatures w14:val="none"/>
          </w:rPr>
          <w:t>5</w:t>
        </w:r>
      </w:hyperlink>
      <w:r w:rsidRPr="00A925E0">
        <w:rPr>
          <w:rFonts w:ascii="Times New Roman" w:eastAsia="Times New Roman" w:hAnsi="Times New Roman" w:cs="Times New Roman"/>
          <w:kern w:val="0"/>
          <w:sz w:val="24"/>
          <w:szCs w:val="24"/>
          <w:lang w:val="en-GB" w:eastAsia="es-ES"/>
          <w14:ligatures w14:val="none"/>
        </w:rPr>
        <w:t xml:space="preserve">, </w:t>
      </w:r>
      <w:hyperlink r:id="rId21" w:anchor="r6" w:history="1">
        <w:r w:rsidRPr="00A925E0">
          <w:rPr>
            <w:rFonts w:ascii="Times New Roman" w:eastAsia="Times New Roman" w:hAnsi="Times New Roman" w:cs="Times New Roman"/>
            <w:color w:val="0000FF"/>
            <w:kern w:val="0"/>
            <w:sz w:val="24"/>
            <w:szCs w:val="24"/>
            <w:u w:val="single"/>
            <w:lang w:val="en-GB" w:eastAsia="es-ES"/>
            <w14:ligatures w14:val="none"/>
          </w:rPr>
          <w:t>6</w:t>
        </w:r>
      </w:hyperlink>
      <w:r w:rsidRPr="00A925E0">
        <w:rPr>
          <w:rFonts w:ascii="Times New Roman" w:eastAsia="Times New Roman" w:hAnsi="Times New Roman" w:cs="Times New Roman"/>
          <w:kern w:val="0"/>
          <w:sz w:val="24"/>
          <w:szCs w:val="24"/>
          <w:lang w:val="en-GB" w:eastAsia="es-ES"/>
          <w14:ligatures w14:val="none"/>
        </w:rPr>
        <w:t>]. In addition, resistance to therapy, intrinsic or acquired, is also a frequent clinical finding in patients treated with immune checkpoint inhibitors (ICIs) [</w:t>
      </w:r>
      <w:hyperlink r:id="rId22" w:anchor="r7" w:history="1">
        <w:r w:rsidRPr="00A925E0">
          <w:rPr>
            <w:rFonts w:ascii="Times New Roman" w:eastAsia="Times New Roman" w:hAnsi="Times New Roman" w:cs="Times New Roman"/>
            <w:color w:val="0000FF"/>
            <w:kern w:val="0"/>
            <w:sz w:val="24"/>
            <w:szCs w:val="24"/>
            <w:u w:val="single"/>
            <w:lang w:val="en-GB" w:eastAsia="es-ES"/>
            <w14:ligatures w14:val="none"/>
          </w:rPr>
          <w:t>7</w:t>
        </w:r>
      </w:hyperlink>
      <w:r w:rsidRPr="00A925E0">
        <w:rPr>
          <w:rFonts w:ascii="Times New Roman" w:eastAsia="Times New Roman" w:hAnsi="Times New Roman" w:cs="Times New Roman"/>
          <w:kern w:val="0"/>
          <w:sz w:val="24"/>
          <w:szCs w:val="24"/>
          <w:lang w:val="en-GB" w:eastAsia="es-ES"/>
          <w14:ligatures w14:val="none"/>
        </w:rPr>
        <w:t>]. Consistently, current efforts are directed to identify strategies that increase the percentage of patients that respond to cancer immunotherapy, and the efficacy of these treatments.</w:t>
      </w:r>
    </w:p>
    <w:p w14:paraId="337336AE"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lang w:val="en-GB" w:eastAsia="es-ES"/>
          <w14:ligatures w14:val="none"/>
        </w:rPr>
        <w:t>We hypothesized that, since PD-L1 expressing APCs might display additional immune checkpoint mediators on their membranes, their elimination could also exert antitumoral potential. In fact, recent studies have reported that chimeric antigenic receptor T (CAR-T) cells targeting PD-L1 reduce the growth of solid tumor xenografts in mice [</w:t>
      </w:r>
      <w:hyperlink r:id="rId23" w:anchor="r8" w:history="1">
        <w:r w:rsidRPr="00A925E0">
          <w:rPr>
            <w:rFonts w:ascii="Times New Roman" w:eastAsia="Times New Roman" w:hAnsi="Times New Roman" w:cs="Times New Roman"/>
            <w:color w:val="0000FF"/>
            <w:kern w:val="0"/>
            <w:sz w:val="24"/>
            <w:szCs w:val="24"/>
            <w:u w:val="single"/>
            <w:lang w:val="en-GB" w:eastAsia="es-ES"/>
            <w14:ligatures w14:val="none"/>
          </w:rPr>
          <w:t>8</w:t>
        </w:r>
      </w:hyperlink>
      <w:r w:rsidRPr="00A925E0">
        <w:rPr>
          <w:rFonts w:ascii="Times New Roman" w:eastAsia="Times New Roman" w:hAnsi="Times New Roman" w:cs="Times New Roman"/>
          <w:kern w:val="0"/>
          <w:sz w:val="24"/>
          <w:szCs w:val="24"/>
          <w:lang w:val="en-GB" w:eastAsia="es-ES"/>
          <w14:ligatures w14:val="none"/>
        </w:rPr>
        <w:t xml:space="preserve">, </w:t>
      </w:r>
      <w:hyperlink r:id="rId24" w:anchor="r9" w:history="1">
        <w:r w:rsidRPr="00A925E0">
          <w:rPr>
            <w:rFonts w:ascii="Times New Roman" w:eastAsia="Times New Roman" w:hAnsi="Times New Roman" w:cs="Times New Roman"/>
            <w:color w:val="0000FF"/>
            <w:kern w:val="0"/>
            <w:sz w:val="24"/>
            <w:szCs w:val="24"/>
            <w:u w:val="single"/>
            <w:lang w:val="en-GB" w:eastAsia="es-ES"/>
            <w14:ligatures w14:val="none"/>
          </w:rPr>
          <w:t>9</w:t>
        </w:r>
      </w:hyperlink>
      <w:r w:rsidRPr="00A925E0">
        <w:rPr>
          <w:rFonts w:ascii="Times New Roman" w:eastAsia="Times New Roman" w:hAnsi="Times New Roman" w:cs="Times New Roman"/>
          <w:kern w:val="0"/>
          <w:sz w:val="24"/>
          <w:szCs w:val="24"/>
          <w:lang w:val="en-GB" w:eastAsia="es-ES"/>
          <w14:ligatures w14:val="none"/>
        </w:rPr>
        <w:t>]. To provide genetic proof-of-principle support for the validity of this approach, we generated mice carrying an inducible suicidal reporter allele of PD-L1. Besides its usefulness to identify and isolate PD-L1 expressing cells (PD-L1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kern w:val="0"/>
          <w:sz w:val="24"/>
          <w:szCs w:val="24"/>
          <w:lang w:val="en-GB" w:eastAsia="es-ES"/>
          <w14:ligatures w14:val="none"/>
        </w:rPr>
        <w:t>, hereafter) from adult mouse tissues, our work with these mice reveals that the selective elimination of 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kern w:val="0"/>
          <w:sz w:val="24"/>
          <w:szCs w:val="24"/>
          <w:lang w:val="en-GB" w:eastAsia="es-ES"/>
          <w14:ligatures w14:val="none"/>
        </w:rPr>
        <w:t xml:space="preserve"> cells potentiates immune responses against different stimuli such as bacterial endotoxins or immunogenic cancer cells.</w:t>
      </w:r>
    </w:p>
    <w:p w14:paraId="66057492" w14:textId="77777777" w:rsidR="00A925E0" w:rsidRPr="00A925E0" w:rsidRDefault="00A925E0" w:rsidP="00A925E0">
      <w:pPr>
        <w:spacing w:before="100" w:beforeAutospacing="1" w:after="100" w:afterAutospacing="1" w:line="240" w:lineRule="auto"/>
        <w:outlineLvl w:val="1"/>
        <w:rPr>
          <w:rFonts w:ascii="Times New Roman" w:eastAsia="Times New Roman" w:hAnsi="Times New Roman" w:cs="Times New Roman"/>
          <w:b/>
          <w:bCs/>
          <w:kern w:val="0"/>
          <w:sz w:val="36"/>
          <w:szCs w:val="36"/>
          <w:lang w:val="en-GB" w:eastAsia="es-ES"/>
          <w14:ligatures w14:val="none"/>
        </w:rPr>
      </w:pPr>
      <w:r w:rsidRPr="00A925E0">
        <w:rPr>
          <w:rFonts w:ascii="Times New Roman" w:eastAsia="Times New Roman" w:hAnsi="Times New Roman" w:cs="Times New Roman"/>
          <w:b/>
          <w:bCs/>
          <w:kern w:val="0"/>
          <w:sz w:val="36"/>
          <w:szCs w:val="36"/>
          <w:lang w:val="en-GB" w:eastAsia="es-ES"/>
          <w14:ligatures w14:val="none"/>
        </w:rPr>
        <w:t>Results</w:t>
      </w:r>
    </w:p>
    <w:p w14:paraId="7A55EA30"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val="en-GB" w:eastAsia="es-ES"/>
          <w14:ligatures w14:val="none"/>
        </w:rPr>
      </w:pPr>
      <w:r w:rsidRPr="00A925E0">
        <w:rPr>
          <w:rFonts w:ascii="Times New Roman" w:eastAsia="Times New Roman" w:hAnsi="Times New Roman" w:cs="Times New Roman"/>
          <w:b/>
          <w:bCs/>
          <w:kern w:val="0"/>
          <w:sz w:val="27"/>
          <w:szCs w:val="27"/>
          <w:lang w:val="en-GB" w:eastAsia="es-ES"/>
          <w14:ligatures w14:val="none"/>
        </w:rPr>
        <w:t>Generation of an inducible suicidal mouse model of PD-L1</w:t>
      </w:r>
    </w:p>
    <w:p w14:paraId="4D063BE2"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lang w:val="en-GB" w:eastAsia="es-ES"/>
          <w14:ligatures w14:val="none"/>
        </w:rPr>
        <w:t>To generate an inducible suicidal reporter allele of PD-L1, we used the previously developed ATTAC (apoptosis through targeted activation of caspase 8) strategy [</w:t>
      </w:r>
      <w:hyperlink r:id="rId25" w:anchor="r10" w:history="1">
        <w:r w:rsidRPr="00A925E0">
          <w:rPr>
            <w:rFonts w:ascii="Times New Roman" w:eastAsia="Times New Roman" w:hAnsi="Times New Roman" w:cs="Times New Roman"/>
            <w:color w:val="0000FF"/>
            <w:kern w:val="0"/>
            <w:sz w:val="24"/>
            <w:szCs w:val="24"/>
            <w:u w:val="single"/>
            <w:lang w:val="en-GB" w:eastAsia="es-ES"/>
            <w14:ligatures w14:val="none"/>
          </w:rPr>
          <w:t>10</w:t>
        </w:r>
      </w:hyperlink>
      <w:r w:rsidRPr="00A925E0">
        <w:rPr>
          <w:rFonts w:ascii="Times New Roman" w:eastAsia="Times New Roman" w:hAnsi="Times New Roman" w:cs="Times New Roman"/>
          <w:kern w:val="0"/>
          <w:sz w:val="24"/>
          <w:szCs w:val="24"/>
          <w:lang w:val="en-GB" w:eastAsia="es-ES"/>
          <w14:ligatures w14:val="none"/>
        </w:rPr>
        <w:t>]. In brief, we knocked in EGFP at the start codon of the mouse PD-L1 gene (</w:t>
      </w:r>
      <w:r w:rsidRPr="00A925E0">
        <w:rPr>
          <w:rFonts w:ascii="Times New Roman" w:eastAsia="Times New Roman" w:hAnsi="Times New Roman" w:cs="Times New Roman"/>
          <w:i/>
          <w:iCs/>
          <w:kern w:val="0"/>
          <w:sz w:val="24"/>
          <w:szCs w:val="24"/>
          <w:lang w:val="en-GB" w:eastAsia="es-ES"/>
          <w14:ligatures w14:val="none"/>
        </w:rPr>
        <w:t>Cd274</w:t>
      </w:r>
      <w:r w:rsidRPr="00A925E0">
        <w:rPr>
          <w:rFonts w:ascii="Times New Roman" w:eastAsia="Times New Roman" w:hAnsi="Times New Roman" w:cs="Times New Roman"/>
          <w:kern w:val="0"/>
          <w:sz w:val="24"/>
          <w:szCs w:val="24"/>
          <w:lang w:val="en-GB" w:eastAsia="es-ES"/>
          <w14:ligatures w14:val="none"/>
        </w:rPr>
        <w:t>), followed by FLAG-tagged catalytic domains of human caspase 8 fused to dimerizing serial FKBP domains which expression is driven by an IRES (</w:t>
      </w:r>
      <w:hyperlink r:id="rId26" w:anchor="f1" w:history="1">
        <w:r w:rsidRPr="00A925E0">
          <w:rPr>
            <w:rFonts w:ascii="Times New Roman" w:eastAsia="Times New Roman" w:hAnsi="Times New Roman" w:cs="Times New Roman"/>
            <w:color w:val="0000FF"/>
            <w:kern w:val="0"/>
            <w:sz w:val="24"/>
            <w:szCs w:val="24"/>
            <w:u w:val="single"/>
            <w:lang w:val="en-GB" w:eastAsia="es-ES"/>
            <w14:ligatures w14:val="none"/>
          </w:rPr>
          <w:t>Figure 1A</w:t>
        </w:r>
      </w:hyperlink>
      <w:r w:rsidRPr="00A925E0">
        <w:rPr>
          <w:rFonts w:ascii="Times New Roman" w:eastAsia="Times New Roman" w:hAnsi="Times New Roman" w:cs="Times New Roman"/>
          <w:kern w:val="0"/>
          <w:sz w:val="24"/>
          <w:szCs w:val="24"/>
          <w:lang w:val="en-GB" w:eastAsia="es-ES"/>
          <w14:ligatures w14:val="none"/>
        </w:rPr>
        <w:t xml:space="preserve">). This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allele allows for the identification of 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kern w:val="0"/>
          <w:sz w:val="24"/>
          <w:szCs w:val="24"/>
          <w:lang w:val="en-GB" w:eastAsia="es-ES"/>
          <w14:ligatures w14:val="none"/>
        </w:rPr>
        <w:t xml:space="preserve"> cells on the basis of EGFP expression, as well as their selective killing through apoptosis upon treatment with the FK102 analogue AP20187. After identifying successfully recombined mouse embryonic stem cell (mESC) clones by Southern Blotting (</w:t>
      </w:r>
      <w:hyperlink r:id="rId27" w:anchor="f1" w:history="1">
        <w:r w:rsidRPr="00A925E0">
          <w:rPr>
            <w:rFonts w:ascii="Times New Roman" w:eastAsia="Times New Roman" w:hAnsi="Times New Roman" w:cs="Times New Roman"/>
            <w:color w:val="0000FF"/>
            <w:kern w:val="0"/>
            <w:sz w:val="24"/>
            <w:szCs w:val="24"/>
            <w:u w:val="single"/>
            <w:lang w:val="en-GB" w:eastAsia="es-ES"/>
            <w14:ligatures w14:val="none"/>
          </w:rPr>
          <w:t>Figure 1B</w:t>
        </w:r>
      </w:hyperlink>
      <w:r w:rsidRPr="00A925E0">
        <w:rPr>
          <w:rFonts w:ascii="Times New Roman" w:eastAsia="Times New Roman" w:hAnsi="Times New Roman" w:cs="Times New Roman"/>
          <w:kern w:val="0"/>
          <w:sz w:val="24"/>
          <w:szCs w:val="24"/>
          <w:lang w:val="en-GB" w:eastAsia="es-ES"/>
          <w14:ligatures w14:val="none"/>
        </w:rPr>
        <w:t>) and before proceeding into generating mice, we first wanted to further confirm the correct integration of the allele by evaluating EGFP expression. To do so, we used the synergistic activation mediator (SAM) strategy, which enables CRISPR-dependent transcriptional activation of a selected gene [</w:t>
      </w:r>
      <w:hyperlink r:id="rId28" w:anchor="r11" w:history="1">
        <w:r w:rsidRPr="00A925E0">
          <w:rPr>
            <w:rFonts w:ascii="Times New Roman" w:eastAsia="Times New Roman" w:hAnsi="Times New Roman" w:cs="Times New Roman"/>
            <w:color w:val="0000FF"/>
            <w:kern w:val="0"/>
            <w:sz w:val="24"/>
            <w:szCs w:val="24"/>
            <w:u w:val="single"/>
            <w:lang w:val="en-GB" w:eastAsia="es-ES"/>
            <w14:ligatures w14:val="none"/>
          </w:rPr>
          <w:t>11</w:t>
        </w:r>
      </w:hyperlink>
      <w:r w:rsidRPr="00A925E0">
        <w:rPr>
          <w:rFonts w:ascii="Times New Roman" w:eastAsia="Times New Roman" w:hAnsi="Times New Roman" w:cs="Times New Roman"/>
          <w:kern w:val="0"/>
          <w:sz w:val="24"/>
          <w:szCs w:val="24"/>
          <w:lang w:val="en-GB" w:eastAsia="es-ES"/>
          <w14:ligatures w14:val="none"/>
        </w:rPr>
        <w:t xml:space="preserve">]. Upon lentiviral transduction of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heterozygous mESC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with an sgRNA targeting the </w:t>
      </w:r>
      <w:r w:rsidRPr="00A925E0">
        <w:rPr>
          <w:rFonts w:ascii="Times New Roman" w:eastAsia="Times New Roman" w:hAnsi="Times New Roman" w:cs="Times New Roman"/>
          <w:i/>
          <w:iCs/>
          <w:kern w:val="0"/>
          <w:sz w:val="24"/>
          <w:szCs w:val="24"/>
          <w:lang w:val="en-GB" w:eastAsia="es-ES"/>
          <w14:ligatures w14:val="none"/>
        </w:rPr>
        <w:t>Cd274</w:t>
      </w:r>
      <w:r w:rsidRPr="00A925E0">
        <w:rPr>
          <w:rFonts w:ascii="Times New Roman" w:eastAsia="Times New Roman" w:hAnsi="Times New Roman" w:cs="Times New Roman"/>
          <w:kern w:val="0"/>
          <w:sz w:val="24"/>
          <w:szCs w:val="24"/>
          <w:lang w:val="en-GB" w:eastAsia="es-ES"/>
          <w14:ligatures w14:val="none"/>
        </w:rPr>
        <w:t xml:space="preserve"> promoter, EGFP expression was detected throughout the infected population (</w:t>
      </w:r>
      <w:hyperlink r:id="rId29" w:anchor="f1" w:history="1">
        <w:r w:rsidRPr="00A925E0">
          <w:rPr>
            <w:rFonts w:ascii="Times New Roman" w:eastAsia="Times New Roman" w:hAnsi="Times New Roman" w:cs="Times New Roman"/>
            <w:color w:val="0000FF"/>
            <w:kern w:val="0"/>
            <w:sz w:val="24"/>
            <w:szCs w:val="24"/>
            <w:u w:val="single"/>
            <w:lang w:val="en-GB" w:eastAsia="es-ES"/>
            <w14:ligatures w14:val="none"/>
          </w:rPr>
          <w:t>Figure 1C</w:t>
        </w:r>
      </w:hyperlink>
      <w:r w:rsidRPr="00A925E0">
        <w:rPr>
          <w:rFonts w:ascii="Times New Roman" w:eastAsia="Times New Roman" w:hAnsi="Times New Roman" w:cs="Times New Roman"/>
          <w:kern w:val="0"/>
          <w:sz w:val="24"/>
          <w:szCs w:val="24"/>
          <w:lang w:val="en-GB" w:eastAsia="es-ES"/>
          <w14:ligatures w14:val="none"/>
        </w:rPr>
        <w:t xml:space="preserve">).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mESC were then used to generate mice using standard procedures and crosses between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w:t>
      </w:r>
      <w:r w:rsidRPr="00A925E0">
        <w:rPr>
          <w:rFonts w:ascii="Times New Roman" w:eastAsia="Times New Roman" w:hAnsi="Times New Roman" w:cs="Times New Roman"/>
          <w:kern w:val="0"/>
          <w:sz w:val="24"/>
          <w:szCs w:val="24"/>
          <w:lang w:val="en-GB" w:eastAsia="es-ES"/>
          <w14:ligatures w14:val="none"/>
        </w:rPr>
        <w:lastRenderedPageBreak/>
        <w:t xml:space="preserve">heterozygous mice yielded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w:t>
      </w:r>
      <w:r w:rsidRPr="00A925E0">
        <w:rPr>
          <w:rFonts w:ascii="Times New Roman" w:eastAsia="Times New Roman" w:hAnsi="Times New Roman" w:cs="Times New Roman"/>
          <w:i/>
          <w:iCs/>
          <w:kern w:val="0"/>
          <w:sz w:val="24"/>
          <w:szCs w:val="24"/>
          <w:lang w:val="en-GB" w:eastAsia="es-ES"/>
          <w14:ligatures w14:val="none"/>
        </w:rPr>
        <w:t>, PD-L1</w:t>
      </w:r>
      <w:r w:rsidRPr="00A925E0">
        <w:rPr>
          <w:rFonts w:ascii="Times New Roman" w:eastAsia="Times New Roman" w:hAnsi="Times New Roman" w:cs="Times New Roman"/>
          <w:i/>
          <w:iCs/>
          <w:kern w:val="0"/>
          <w:sz w:val="24"/>
          <w:szCs w:val="24"/>
          <w:vertAlign w:val="superscript"/>
          <w:lang w:val="en-GB" w:eastAsia="es-ES"/>
          <w14:ligatures w14:val="none"/>
        </w:rPr>
        <w:t>AT/+</w:t>
      </w:r>
      <w:r w:rsidRPr="00A925E0">
        <w:rPr>
          <w:rFonts w:ascii="Times New Roman" w:eastAsia="Times New Roman" w:hAnsi="Times New Roman" w:cs="Times New Roman"/>
          <w:i/>
          <w:iCs/>
          <w:kern w:val="0"/>
          <w:sz w:val="24"/>
          <w:szCs w:val="24"/>
          <w:lang w:val="en-GB" w:eastAsia="es-ES"/>
          <w14:ligatures w14:val="none"/>
        </w:rPr>
        <w:t xml:space="preserve"> and PD-L1</w:t>
      </w:r>
      <w:r w:rsidRPr="00A925E0">
        <w:rPr>
          <w:rFonts w:ascii="Times New Roman" w:eastAsia="Times New Roman" w:hAnsi="Times New Roman" w:cs="Times New Roman"/>
          <w:i/>
          <w:iCs/>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animals at Mendelian rations. Mutant mice showed no apparent phenotype when compared to wild type (wt) littermates (</w:t>
      </w:r>
      <w:hyperlink r:id="rId30" w:anchor="f1" w:history="1">
        <w:r w:rsidRPr="00A925E0">
          <w:rPr>
            <w:rFonts w:ascii="Times New Roman" w:eastAsia="Times New Roman" w:hAnsi="Times New Roman" w:cs="Times New Roman"/>
            <w:color w:val="0000FF"/>
            <w:kern w:val="0"/>
            <w:sz w:val="24"/>
            <w:szCs w:val="24"/>
            <w:u w:val="single"/>
            <w:lang w:val="en-GB" w:eastAsia="es-ES"/>
            <w14:ligatures w14:val="none"/>
          </w:rPr>
          <w:t>Figure 1D</w:t>
        </w:r>
      </w:hyperlink>
      <w:r w:rsidRPr="00A925E0">
        <w:rPr>
          <w:rFonts w:ascii="Times New Roman" w:eastAsia="Times New Roman" w:hAnsi="Times New Roman" w:cs="Times New Roman"/>
          <w:kern w:val="0"/>
          <w:sz w:val="24"/>
          <w:szCs w:val="24"/>
          <w:lang w:val="en-GB" w:eastAsia="es-ES"/>
          <w14:ligatures w14:val="none"/>
        </w:rPr>
        <w:t xml:space="preserve">). However, and consistent with the fact that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animals are knockouts for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lang w:val="en-GB" w:eastAsia="es-ES"/>
          <w14:ligatures w14:val="none"/>
        </w:rPr>
        <w:t xml:space="preserve">, allografts of B16-F10 melanoma cells presented more immune infiltrates and grew less when implanted in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mice (</w:t>
      </w:r>
      <w:hyperlink r:id="rId31" w:anchor="SD2" w:history="1">
        <w:r w:rsidRPr="00A925E0">
          <w:rPr>
            <w:rFonts w:ascii="Times New Roman" w:eastAsia="Times New Roman" w:hAnsi="Times New Roman" w:cs="Times New Roman"/>
            <w:color w:val="0000FF"/>
            <w:kern w:val="0"/>
            <w:sz w:val="24"/>
            <w:szCs w:val="24"/>
            <w:u w:val="single"/>
            <w:lang w:val="en-GB" w:eastAsia="es-ES"/>
            <w14:ligatures w14:val="none"/>
          </w:rPr>
          <w:t>Supplementary Figure 1</w:t>
        </w:r>
      </w:hyperlink>
      <w:r w:rsidRPr="00A925E0">
        <w:rPr>
          <w:rFonts w:ascii="Times New Roman" w:eastAsia="Times New Roman" w:hAnsi="Times New Roman" w:cs="Times New Roman"/>
          <w:kern w:val="0"/>
          <w:sz w:val="24"/>
          <w:szCs w:val="24"/>
          <w:lang w:val="en-GB" w:eastAsia="es-ES"/>
          <w14:ligatures w14:val="none"/>
        </w:rPr>
        <w:t>).</w:t>
      </w:r>
    </w:p>
    <w:p w14:paraId="03341E1A" w14:textId="77777777" w:rsidR="00A925E0" w:rsidRPr="00A925E0" w:rsidRDefault="00A925E0" w:rsidP="00A925E0">
      <w:pPr>
        <w:spacing w:after="0"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noProof/>
          <w:color w:val="0000FF"/>
          <w:kern w:val="0"/>
          <w:sz w:val="24"/>
          <w:szCs w:val="24"/>
          <w:lang w:eastAsia="es-ES"/>
          <w14:ligatures w14:val="none"/>
        </w:rPr>
        <w:drawing>
          <wp:inline distT="0" distB="0" distL="0" distR="0" wp14:anchorId="1F64CC49" wp14:editId="78FDD01A">
            <wp:extent cx="9715500" cy="7391400"/>
            <wp:effectExtent l="0" t="0" r="0" b="0"/>
            <wp:docPr id="1" name="Imagen 4" descr="Diagrama&#10;&#10;Descripción generada automáticamente">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4" descr="Diagrama&#10;&#10;Descripción generada automáticamente">
                      <a:hlinkClick r:id="rId32"/>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715500" cy="7391400"/>
                    </a:xfrm>
                    <a:prstGeom prst="rect">
                      <a:avLst/>
                    </a:prstGeom>
                    <a:noFill/>
                    <a:ln>
                      <a:noFill/>
                    </a:ln>
                  </pic:spPr>
                </pic:pic>
              </a:graphicData>
            </a:graphic>
          </wp:inline>
        </w:drawing>
      </w:r>
    </w:p>
    <w:p w14:paraId="01738C7D"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b/>
          <w:bCs/>
          <w:kern w:val="0"/>
          <w:sz w:val="24"/>
          <w:szCs w:val="24"/>
          <w:lang w:val="en-GB" w:eastAsia="es-ES"/>
          <w14:ligatures w14:val="none"/>
        </w:rPr>
        <w:lastRenderedPageBreak/>
        <w:t>Figure 1.</w:t>
      </w:r>
      <w:r w:rsidRPr="00A925E0">
        <w:rPr>
          <w:rFonts w:ascii="Times New Roman" w:eastAsia="Times New Roman" w:hAnsi="Times New Roman" w:cs="Times New Roman"/>
          <w:kern w:val="0"/>
          <w:sz w:val="24"/>
          <w:szCs w:val="24"/>
          <w:lang w:val="en-GB" w:eastAsia="es-ES"/>
          <w14:ligatures w14:val="none"/>
        </w:rPr>
        <w:t xml:space="preserve"> </w:t>
      </w:r>
      <w:r w:rsidRPr="00A925E0">
        <w:rPr>
          <w:rFonts w:ascii="Times New Roman" w:eastAsia="Times New Roman" w:hAnsi="Times New Roman" w:cs="Times New Roman"/>
          <w:b/>
          <w:bCs/>
          <w:kern w:val="0"/>
          <w:sz w:val="24"/>
          <w:szCs w:val="24"/>
          <w:lang w:val="en-GB" w:eastAsia="es-ES"/>
          <w14:ligatures w14:val="none"/>
        </w:rPr>
        <w:t>Generation of an inducible suicidal mouse model of PD-L1 (PD- L1</w:t>
      </w:r>
      <w:r w:rsidRPr="00A925E0">
        <w:rPr>
          <w:rFonts w:ascii="Times New Roman" w:eastAsia="Times New Roman" w:hAnsi="Times New Roman" w:cs="Times New Roman"/>
          <w:b/>
          <w:bCs/>
          <w:kern w:val="0"/>
          <w:sz w:val="24"/>
          <w:szCs w:val="24"/>
          <w:vertAlign w:val="superscript"/>
          <w:lang w:val="en-GB" w:eastAsia="es-ES"/>
          <w14:ligatures w14:val="none"/>
        </w:rPr>
        <w:t>ATTAC</w:t>
      </w:r>
      <w:r w:rsidRPr="00A925E0">
        <w:rPr>
          <w:rFonts w:ascii="Times New Roman" w:eastAsia="Times New Roman" w:hAnsi="Times New Roman" w:cs="Times New Roman"/>
          <w:b/>
          <w:bCs/>
          <w:kern w:val="0"/>
          <w:sz w:val="24"/>
          <w:szCs w:val="24"/>
          <w:lang w:val="en-GB" w:eastAsia="es-ES"/>
          <w14:ligatures w14:val="none"/>
        </w:rPr>
        <w:t>).</w:t>
      </w:r>
      <w:r w:rsidRPr="00A925E0">
        <w:rPr>
          <w:rFonts w:ascii="Times New Roman" w:eastAsia="Times New Roman" w:hAnsi="Times New Roman" w:cs="Times New Roman"/>
          <w:kern w:val="0"/>
          <w:sz w:val="24"/>
          <w:szCs w:val="24"/>
          <w:lang w:val="en-GB" w:eastAsia="es-ES"/>
          <w14:ligatures w14:val="none"/>
        </w:rPr>
        <w:t xml:space="preserve"> (</w:t>
      </w:r>
      <w:r w:rsidRPr="00A925E0">
        <w:rPr>
          <w:rFonts w:ascii="Times New Roman" w:eastAsia="Times New Roman" w:hAnsi="Times New Roman" w:cs="Times New Roman"/>
          <w:b/>
          <w:bCs/>
          <w:kern w:val="0"/>
          <w:sz w:val="24"/>
          <w:szCs w:val="24"/>
          <w:lang w:val="en-GB" w:eastAsia="es-ES"/>
          <w14:ligatures w14:val="none"/>
        </w:rPr>
        <w:t>A</w:t>
      </w:r>
      <w:r w:rsidRPr="00A925E0">
        <w:rPr>
          <w:rFonts w:ascii="Times New Roman" w:eastAsia="Times New Roman" w:hAnsi="Times New Roman" w:cs="Times New Roman"/>
          <w:kern w:val="0"/>
          <w:sz w:val="24"/>
          <w:szCs w:val="24"/>
          <w:lang w:val="en-GB" w:eastAsia="es-ES"/>
          <w14:ligatures w14:val="none"/>
        </w:rPr>
        <w:t>) Scheme illustrating the construct used for the generation of PD-L1</w:t>
      </w:r>
      <w:r w:rsidRPr="00A925E0">
        <w:rPr>
          <w:rFonts w:ascii="Times New Roman" w:eastAsia="Times New Roman" w:hAnsi="Times New Roman" w:cs="Times New Roman"/>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mice. The construct is under control of </w:t>
      </w:r>
      <w:r w:rsidRPr="00A925E0">
        <w:rPr>
          <w:rFonts w:ascii="Times New Roman" w:eastAsia="Times New Roman" w:hAnsi="Times New Roman" w:cs="Times New Roman"/>
          <w:i/>
          <w:iCs/>
          <w:kern w:val="0"/>
          <w:sz w:val="24"/>
          <w:szCs w:val="24"/>
          <w:lang w:val="en-GB" w:eastAsia="es-ES"/>
          <w14:ligatures w14:val="none"/>
        </w:rPr>
        <w:t>Cd274</w:t>
      </w:r>
      <w:r w:rsidRPr="00A925E0">
        <w:rPr>
          <w:rFonts w:ascii="Times New Roman" w:eastAsia="Times New Roman" w:hAnsi="Times New Roman" w:cs="Times New Roman"/>
          <w:kern w:val="0"/>
          <w:sz w:val="24"/>
          <w:szCs w:val="24"/>
          <w:lang w:val="en-GB" w:eastAsia="es-ES"/>
          <w14:ligatures w14:val="none"/>
        </w:rPr>
        <w:t xml:space="preserve"> promoter and codes for EGFP as a reporter gene and a FLAG-tagged caspase 8 fused to FKBP domains, which homodimerize in the presence of AP20187 and induce apoptosis of 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kern w:val="0"/>
          <w:sz w:val="24"/>
          <w:szCs w:val="24"/>
          <w:lang w:val="en-GB" w:eastAsia="es-ES"/>
          <w14:ligatures w14:val="none"/>
        </w:rPr>
        <w:t xml:space="preserve"> cells. (</w:t>
      </w:r>
      <w:r w:rsidRPr="00A925E0">
        <w:rPr>
          <w:rFonts w:ascii="Times New Roman" w:eastAsia="Times New Roman" w:hAnsi="Times New Roman" w:cs="Times New Roman"/>
          <w:b/>
          <w:bCs/>
          <w:kern w:val="0"/>
          <w:sz w:val="24"/>
          <w:szCs w:val="24"/>
          <w:lang w:val="en-GB" w:eastAsia="es-ES"/>
          <w14:ligatures w14:val="none"/>
        </w:rPr>
        <w:t>B</w:t>
      </w:r>
      <w:r w:rsidRPr="00A925E0">
        <w:rPr>
          <w:rFonts w:ascii="Times New Roman" w:eastAsia="Times New Roman" w:hAnsi="Times New Roman" w:cs="Times New Roman"/>
          <w:kern w:val="0"/>
          <w:sz w:val="24"/>
          <w:szCs w:val="24"/>
          <w:lang w:val="en-GB" w:eastAsia="es-ES"/>
          <w14:ligatures w14:val="none"/>
        </w:rPr>
        <w:t>) Southern blot illustrating the presence of mESC clones harboring the correct integration of the PD-L1</w:t>
      </w:r>
      <w:r w:rsidRPr="00A925E0">
        <w:rPr>
          <w:rFonts w:ascii="Times New Roman" w:eastAsia="Times New Roman" w:hAnsi="Times New Roman" w:cs="Times New Roman"/>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allele that were subsequently used for the generation of mutant mice. The 13.2 Kb band corresponds to the endogenous WT </w:t>
      </w:r>
      <w:r w:rsidRPr="00A925E0">
        <w:rPr>
          <w:rFonts w:ascii="Times New Roman" w:eastAsia="Times New Roman" w:hAnsi="Times New Roman" w:cs="Times New Roman"/>
          <w:i/>
          <w:iCs/>
          <w:kern w:val="0"/>
          <w:sz w:val="24"/>
          <w:szCs w:val="24"/>
          <w:lang w:val="en-GB" w:eastAsia="es-ES"/>
          <w14:ligatures w14:val="none"/>
        </w:rPr>
        <w:t>Cd274</w:t>
      </w:r>
      <w:r w:rsidRPr="00A925E0">
        <w:rPr>
          <w:rFonts w:ascii="Times New Roman" w:eastAsia="Times New Roman" w:hAnsi="Times New Roman" w:cs="Times New Roman"/>
          <w:kern w:val="0"/>
          <w:sz w:val="24"/>
          <w:szCs w:val="24"/>
          <w:lang w:val="en-GB" w:eastAsia="es-ES"/>
          <w14:ligatures w14:val="none"/>
        </w:rPr>
        <w:t xml:space="preserve"> gene, and the 8.5 Kb band to the knock-in PD-L1</w:t>
      </w:r>
      <w:r w:rsidRPr="00A925E0">
        <w:rPr>
          <w:rFonts w:ascii="Times New Roman" w:eastAsia="Times New Roman" w:hAnsi="Times New Roman" w:cs="Times New Roman"/>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allele. (</w:t>
      </w:r>
      <w:r w:rsidRPr="00A925E0">
        <w:rPr>
          <w:rFonts w:ascii="Times New Roman" w:eastAsia="Times New Roman" w:hAnsi="Times New Roman" w:cs="Times New Roman"/>
          <w:b/>
          <w:bCs/>
          <w:kern w:val="0"/>
          <w:sz w:val="24"/>
          <w:szCs w:val="24"/>
          <w:lang w:val="en-GB" w:eastAsia="es-ES"/>
          <w14:ligatures w14:val="none"/>
        </w:rPr>
        <w:t>C</w:t>
      </w:r>
      <w:r w:rsidRPr="00A925E0">
        <w:rPr>
          <w:rFonts w:ascii="Times New Roman" w:eastAsia="Times New Roman" w:hAnsi="Times New Roman" w:cs="Times New Roman"/>
          <w:kern w:val="0"/>
          <w:sz w:val="24"/>
          <w:szCs w:val="24"/>
          <w:lang w:val="en-GB" w:eastAsia="es-ES"/>
          <w14:ligatures w14:val="none"/>
        </w:rPr>
        <w:t>) FACS analyses of PD-L1 expression as monitored by EGFP in PD-L1</w:t>
      </w:r>
      <w:r w:rsidRPr="00A925E0">
        <w:rPr>
          <w:rFonts w:ascii="Times New Roman" w:eastAsia="Times New Roman" w:hAnsi="Times New Roman" w:cs="Times New Roman"/>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mESC cells harboring a dead Cas9 compatible with the SAM CRISPR activator system and transduced or not with a sgRNA against the </w:t>
      </w:r>
      <w:r w:rsidRPr="00A925E0">
        <w:rPr>
          <w:rFonts w:ascii="Times New Roman" w:eastAsia="Times New Roman" w:hAnsi="Times New Roman" w:cs="Times New Roman"/>
          <w:i/>
          <w:iCs/>
          <w:kern w:val="0"/>
          <w:sz w:val="24"/>
          <w:szCs w:val="24"/>
          <w:lang w:val="en-GB" w:eastAsia="es-ES"/>
          <w14:ligatures w14:val="none"/>
        </w:rPr>
        <w:t>Cd274</w:t>
      </w:r>
      <w:r w:rsidRPr="00A925E0">
        <w:rPr>
          <w:rFonts w:ascii="Times New Roman" w:eastAsia="Times New Roman" w:hAnsi="Times New Roman" w:cs="Times New Roman"/>
          <w:kern w:val="0"/>
          <w:sz w:val="24"/>
          <w:szCs w:val="24"/>
          <w:lang w:val="en-GB" w:eastAsia="es-ES"/>
          <w14:ligatures w14:val="none"/>
        </w:rPr>
        <w:t xml:space="preserve"> promoter. Percentage of EGFP+ cells is shown. (</w:t>
      </w:r>
      <w:r w:rsidRPr="00A925E0">
        <w:rPr>
          <w:rFonts w:ascii="Times New Roman" w:eastAsia="Times New Roman" w:hAnsi="Times New Roman" w:cs="Times New Roman"/>
          <w:b/>
          <w:bCs/>
          <w:kern w:val="0"/>
          <w:sz w:val="24"/>
          <w:szCs w:val="24"/>
          <w:lang w:val="en-GB" w:eastAsia="es-ES"/>
          <w14:ligatures w14:val="none"/>
        </w:rPr>
        <w:t>D</w:t>
      </w:r>
      <w:r w:rsidRPr="00A925E0">
        <w:rPr>
          <w:rFonts w:ascii="Times New Roman" w:eastAsia="Times New Roman" w:hAnsi="Times New Roman" w:cs="Times New Roman"/>
          <w:kern w:val="0"/>
          <w:sz w:val="24"/>
          <w:szCs w:val="24"/>
          <w:lang w:val="en-GB" w:eastAsia="es-ES"/>
          <w14:ligatures w14:val="none"/>
        </w:rPr>
        <w:t>) Representative picture from pairs of 3-month-old animals of the indicated genotypes.</w:t>
      </w:r>
    </w:p>
    <w:p w14:paraId="48E13E00"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val="en-GB" w:eastAsia="es-ES"/>
          <w14:ligatures w14:val="none"/>
        </w:rPr>
      </w:pPr>
      <w:r w:rsidRPr="00A925E0">
        <w:rPr>
          <w:rFonts w:ascii="Times New Roman" w:eastAsia="Times New Roman" w:hAnsi="Times New Roman" w:cs="Times New Roman"/>
          <w:b/>
          <w:bCs/>
          <w:i/>
          <w:iCs/>
          <w:kern w:val="0"/>
          <w:sz w:val="27"/>
          <w:szCs w:val="27"/>
          <w:lang w:val="en-GB" w:eastAsia="es-ES"/>
          <w14:ligatures w14:val="none"/>
        </w:rPr>
        <w:t>In vitro</w:t>
      </w:r>
      <w:r w:rsidRPr="00A925E0">
        <w:rPr>
          <w:rFonts w:ascii="Times New Roman" w:eastAsia="Times New Roman" w:hAnsi="Times New Roman" w:cs="Times New Roman"/>
          <w:b/>
          <w:bCs/>
          <w:kern w:val="0"/>
          <w:sz w:val="27"/>
          <w:szCs w:val="27"/>
          <w:lang w:val="en-GB" w:eastAsia="es-ES"/>
          <w14:ligatures w14:val="none"/>
        </w:rPr>
        <w:t xml:space="preserve"> validation of the PD-L1</w:t>
      </w:r>
      <w:r w:rsidRPr="00A925E0">
        <w:rPr>
          <w:rFonts w:ascii="Times New Roman" w:eastAsia="Times New Roman" w:hAnsi="Times New Roman" w:cs="Times New Roman"/>
          <w:b/>
          <w:bCs/>
          <w:kern w:val="0"/>
          <w:sz w:val="27"/>
          <w:szCs w:val="27"/>
          <w:vertAlign w:val="superscript"/>
          <w:lang w:val="en-GB" w:eastAsia="es-ES"/>
          <w14:ligatures w14:val="none"/>
        </w:rPr>
        <w:t>ATTAC</w:t>
      </w:r>
      <w:r w:rsidRPr="00A925E0">
        <w:rPr>
          <w:rFonts w:ascii="Times New Roman" w:eastAsia="Times New Roman" w:hAnsi="Times New Roman" w:cs="Times New Roman"/>
          <w:b/>
          <w:bCs/>
          <w:kern w:val="0"/>
          <w:sz w:val="27"/>
          <w:szCs w:val="27"/>
          <w:lang w:val="en-GB" w:eastAsia="es-ES"/>
          <w14:ligatures w14:val="none"/>
        </w:rPr>
        <w:t xml:space="preserve"> model</w:t>
      </w:r>
    </w:p>
    <w:p w14:paraId="04146562"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lang w:val="en-GB" w:eastAsia="es-ES"/>
          <w14:ligatures w14:val="none"/>
        </w:rPr>
        <w:t xml:space="preserve">To evaluate the usefulness of the system </w:t>
      </w:r>
      <w:r w:rsidRPr="00A925E0">
        <w:rPr>
          <w:rFonts w:ascii="Times New Roman" w:eastAsia="Times New Roman" w:hAnsi="Times New Roman" w:cs="Times New Roman"/>
          <w:i/>
          <w:iCs/>
          <w:kern w:val="0"/>
          <w:sz w:val="24"/>
          <w:szCs w:val="24"/>
          <w:lang w:val="en-GB" w:eastAsia="es-ES"/>
          <w14:ligatures w14:val="none"/>
        </w:rPr>
        <w:t>in vitro</w:t>
      </w:r>
      <w:r w:rsidRPr="00A925E0">
        <w:rPr>
          <w:rFonts w:ascii="Times New Roman" w:eastAsia="Times New Roman" w:hAnsi="Times New Roman" w:cs="Times New Roman"/>
          <w:kern w:val="0"/>
          <w:sz w:val="24"/>
          <w:szCs w:val="24"/>
          <w:lang w:val="en-GB" w:eastAsia="es-ES"/>
          <w14:ligatures w14:val="none"/>
        </w:rPr>
        <w:t xml:space="preserve"> we first generated mouse embryonic fibroblasts (MEF). Western Blotting (WB) revealed that a treatment with interferon gamma (IFN</w:t>
      </w:r>
      <w:r w:rsidRPr="00A925E0">
        <w:rPr>
          <w:rFonts w:ascii="Times New Roman" w:eastAsia="Times New Roman" w:hAnsi="Times New Roman" w:cs="Times New Roman"/>
          <w:kern w:val="0"/>
          <w:sz w:val="24"/>
          <w:szCs w:val="24"/>
          <w:lang w:eastAsia="es-ES"/>
          <w14:ligatures w14:val="none"/>
        </w:rPr>
        <w:t>γ</w:t>
      </w:r>
      <w:r w:rsidRPr="00A925E0">
        <w:rPr>
          <w:rFonts w:ascii="Times New Roman" w:eastAsia="Times New Roman" w:hAnsi="Times New Roman" w:cs="Times New Roman"/>
          <w:kern w:val="0"/>
          <w:sz w:val="24"/>
          <w:szCs w:val="24"/>
          <w:lang w:val="en-GB" w:eastAsia="es-ES"/>
          <w14:ligatures w14:val="none"/>
        </w:rPr>
        <w:t>), a known inducer of PD-L1 expression [</w:t>
      </w:r>
      <w:hyperlink r:id="rId34" w:anchor="r12" w:history="1">
        <w:r w:rsidRPr="00A925E0">
          <w:rPr>
            <w:rFonts w:ascii="Times New Roman" w:eastAsia="Times New Roman" w:hAnsi="Times New Roman" w:cs="Times New Roman"/>
            <w:color w:val="0000FF"/>
            <w:kern w:val="0"/>
            <w:sz w:val="24"/>
            <w:szCs w:val="24"/>
            <w:u w:val="single"/>
            <w:lang w:val="en-GB" w:eastAsia="es-ES"/>
            <w14:ligatures w14:val="none"/>
          </w:rPr>
          <w:t>12</w:t>
        </w:r>
      </w:hyperlink>
      <w:r w:rsidRPr="00A925E0">
        <w:rPr>
          <w:rFonts w:ascii="Times New Roman" w:eastAsia="Times New Roman" w:hAnsi="Times New Roman" w:cs="Times New Roman"/>
          <w:kern w:val="0"/>
          <w:sz w:val="24"/>
          <w:szCs w:val="24"/>
          <w:lang w:val="en-GB" w:eastAsia="es-ES"/>
          <w14:ligatures w14:val="none"/>
        </w:rPr>
        <w:t xml:space="preserve">, </w:t>
      </w:r>
      <w:hyperlink r:id="rId35" w:anchor="r13" w:history="1">
        <w:r w:rsidRPr="00A925E0">
          <w:rPr>
            <w:rFonts w:ascii="Times New Roman" w:eastAsia="Times New Roman" w:hAnsi="Times New Roman" w:cs="Times New Roman"/>
            <w:color w:val="0000FF"/>
            <w:kern w:val="0"/>
            <w:sz w:val="24"/>
            <w:szCs w:val="24"/>
            <w:u w:val="single"/>
            <w:lang w:val="en-GB" w:eastAsia="es-ES"/>
            <w14:ligatures w14:val="none"/>
          </w:rPr>
          <w:t>13</w:t>
        </w:r>
      </w:hyperlink>
      <w:r w:rsidRPr="00A925E0">
        <w:rPr>
          <w:rFonts w:ascii="Times New Roman" w:eastAsia="Times New Roman" w:hAnsi="Times New Roman" w:cs="Times New Roman"/>
          <w:kern w:val="0"/>
          <w:sz w:val="24"/>
          <w:szCs w:val="24"/>
          <w:lang w:val="en-GB" w:eastAsia="es-ES"/>
          <w14:ligatures w14:val="none"/>
        </w:rPr>
        <w:t xml:space="preserve">], triggered expression of EGFP in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but not in wt MEF (</w:t>
      </w:r>
      <w:hyperlink r:id="rId36" w:anchor="f2" w:history="1">
        <w:r w:rsidRPr="00A925E0">
          <w:rPr>
            <w:rFonts w:ascii="Times New Roman" w:eastAsia="Times New Roman" w:hAnsi="Times New Roman" w:cs="Times New Roman"/>
            <w:color w:val="0000FF"/>
            <w:kern w:val="0"/>
            <w:sz w:val="24"/>
            <w:szCs w:val="24"/>
            <w:u w:val="single"/>
            <w:lang w:val="en-GB" w:eastAsia="es-ES"/>
            <w14:ligatures w14:val="none"/>
          </w:rPr>
          <w:t>Figure 2A</w:t>
        </w:r>
      </w:hyperlink>
      <w:r w:rsidRPr="00A925E0">
        <w:rPr>
          <w:rFonts w:ascii="Times New Roman" w:eastAsia="Times New Roman" w:hAnsi="Times New Roman" w:cs="Times New Roman"/>
          <w:kern w:val="0"/>
          <w:sz w:val="24"/>
          <w:szCs w:val="24"/>
          <w:lang w:val="en-GB" w:eastAsia="es-ES"/>
          <w14:ligatures w14:val="none"/>
        </w:rPr>
        <w:t xml:space="preserve">). Conversely, PD-L1 expression was detectable in wt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MEF but not in homozygous mutants, which is expected as the construct was inserted at the start codon and is thus a knockout allele (</w:t>
      </w:r>
      <w:hyperlink r:id="rId37" w:anchor="f2" w:history="1">
        <w:r w:rsidRPr="00A925E0">
          <w:rPr>
            <w:rFonts w:ascii="Times New Roman" w:eastAsia="Times New Roman" w:hAnsi="Times New Roman" w:cs="Times New Roman"/>
            <w:color w:val="0000FF"/>
            <w:kern w:val="0"/>
            <w:sz w:val="24"/>
            <w:szCs w:val="24"/>
            <w:u w:val="single"/>
            <w:lang w:val="en-GB" w:eastAsia="es-ES"/>
            <w14:ligatures w14:val="none"/>
          </w:rPr>
          <w:t>Figure 2A</w:t>
        </w:r>
      </w:hyperlink>
      <w:r w:rsidRPr="00A925E0">
        <w:rPr>
          <w:rFonts w:ascii="Times New Roman" w:eastAsia="Times New Roman" w:hAnsi="Times New Roman" w:cs="Times New Roman"/>
          <w:kern w:val="0"/>
          <w:sz w:val="24"/>
          <w:szCs w:val="24"/>
          <w:lang w:val="en-GB" w:eastAsia="es-ES"/>
          <w14:ligatures w14:val="none"/>
        </w:rPr>
        <w:t>). Equivalent findings were made by immunofluorescence (IF) (</w:t>
      </w:r>
      <w:hyperlink r:id="rId38" w:anchor="f2" w:history="1">
        <w:r w:rsidRPr="00A925E0">
          <w:rPr>
            <w:rFonts w:ascii="Times New Roman" w:eastAsia="Times New Roman" w:hAnsi="Times New Roman" w:cs="Times New Roman"/>
            <w:color w:val="0000FF"/>
            <w:kern w:val="0"/>
            <w:sz w:val="24"/>
            <w:szCs w:val="24"/>
            <w:u w:val="single"/>
            <w:lang w:val="en-GB" w:eastAsia="es-ES"/>
            <w14:ligatures w14:val="none"/>
          </w:rPr>
          <w:t>Figure 2B</w:t>
        </w:r>
      </w:hyperlink>
      <w:r w:rsidRPr="00A925E0">
        <w:rPr>
          <w:rFonts w:ascii="Times New Roman" w:eastAsia="Times New Roman" w:hAnsi="Times New Roman" w:cs="Times New Roman"/>
          <w:kern w:val="0"/>
          <w:sz w:val="24"/>
          <w:szCs w:val="24"/>
          <w:lang w:val="en-GB" w:eastAsia="es-ES"/>
          <w14:ligatures w14:val="none"/>
        </w:rPr>
        <w:t>) or flow cytometry (</w:t>
      </w:r>
      <w:hyperlink r:id="rId39" w:anchor="f2" w:history="1">
        <w:r w:rsidRPr="00A925E0">
          <w:rPr>
            <w:rFonts w:ascii="Times New Roman" w:eastAsia="Times New Roman" w:hAnsi="Times New Roman" w:cs="Times New Roman"/>
            <w:color w:val="0000FF"/>
            <w:kern w:val="0"/>
            <w:sz w:val="24"/>
            <w:szCs w:val="24"/>
            <w:u w:val="single"/>
            <w:lang w:val="en-GB" w:eastAsia="es-ES"/>
            <w14:ligatures w14:val="none"/>
          </w:rPr>
          <w:t>Figure 2C</w:t>
        </w:r>
      </w:hyperlink>
      <w:r w:rsidRPr="00A925E0">
        <w:rPr>
          <w:rFonts w:ascii="Times New Roman" w:eastAsia="Times New Roman" w:hAnsi="Times New Roman" w:cs="Times New Roman"/>
          <w:kern w:val="0"/>
          <w:sz w:val="24"/>
          <w:szCs w:val="24"/>
          <w:lang w:val="en-GB" w:eastAsia="es-ES"/>
          <w14:ligatures w14:val="none"/>
        </w:rPr>
        <w:t>). Moreover, analysis of flow cytometry data revealed a full correlation between EGFP and PD-L1 expression in IFN</w:t>
      </w:r>
      <w:r w:rsidRPr="00A925E0">
        <w:rPr>
          <w:rFonts w:ascii="Times New Roman" w:eastAsia="Times New Roman" w:hAnsi="Times New Roman" w:cs="Times New Roman"/>
          <w:kern w:val="0"/>
          <w:sz w:val="24"/>
          <w:szCs w:val="24"/>
          <w:lang w:eastAsia="es-ES"/>
          <w14:ligatures w14:val="none"/>
        </w:rPr>
        <w:t>γ</w:t>
      </w:r>
      <w:r w:rsidRPr="00A925E0">
        <w:rPr>
          <w:rFonts w:ascii="Times New Roman" w:eastAsia="Times New Roman" w:hAnsi="Times New Roman" w:cs="Times New Roman"/>
          <w:kern w:val="0"/>
          <w:sz w:val="24"/>
          <w:szCs w:val="24"/>
          <w:lang w:val="en-GB" w:eastAsia="es-ES"/>
          <w14:ligatures w14:val="none"/>
        </w:rPr>
        <w:t>-treated MEF (</w:t>
      </w:r>
      <w:hyperlink r:id="rId40" w:anchor="f2" w:history="1">
        <w:r w:rsidRPr="00A925E0">
          <w:rPr>
            <w:rFonts w:ascii="Times New Roman" w:eastAsia="Times New Roman" w:hAnsi="Times New Roman" w:cs="Times New Roman"/>
            <w:color w:val="0000FF"/>
            <w:kern w:val="0"/>
            <w:sz w:val="24"/>
            <w:szCs w:val="24"/>
            <w:u w:val="single"/>
            <w:lang w:val="en-GB" w:eastAsia="es-ES"/>
            <w14:ligatures w14:val="none"/>
          </w:rPr>
          <w:t>Figure 2D</w:t>
        </w:r>
      </w:hyperlink>
      <w:r w:rsidRPr="00A925E0">
        <w:rPr>
          <w:rFonts w:ascii="Times New Roman" w:eastAsia="Times New Roman" w:hAnsi="Times New Roman" w:cs="Times New Roman"/>
          <w:kern w:val="0"/>
          <w:sz w:val="24"/>
          <w:szCs w:val="24"/>
          <w:lang w:val="en-GB" w:eastAsia="es-ES"/>
          <w14:ligatures w14:val="none"/>
        </w:rPr>
        <w:t xml:space="preserve">). In what regards to the cell killing induced by AP20187 and, to our surprise, we could only detect a significant impact in cell death if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or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MEF were previously treated with IFN</w:t>
      </w:r>
      <w:r w:rsidRPr="00A925E0">
        <w:rPr>
          <w:rFonts w:ascii="Times New Roman" w:eastAsia="Times New Roman" w:hAnsi="Times New Roman" w:cs="Times New Roman"/>
          <w:kern w:val="0"/>
          <w:sz w:val="24"/>
          <w:szCs w:val="24"/>
          <w:lang w:eastAsia="es-ES"/>
          <w14:ligatures w14:val="none"/>
        </w:rPr>
        <w:t>γ</w:t>
      </w:r>
      <w:r w:rsidRPr="00A925E0">
        <w:rPr>
          <w:rFonts w:ascii="Times New Roman" w:eastAsia="Times New Roman" w:hAnsi="Times New Roman" w:cs="Times New Roman"/>
          <w:kern w:val="0"/>
          <w:sz w:val="24"/>
          <w:szCs w:val="24"/>
          <w:lang w:val="en-GB" w:eastAsia="es-ES"/>
          <w14:ligatures w14:val="none"/>
        </w:rPr>
        <w:t xml:space="preserve"> to trigger PD-L1 expression and also grown in low serum media (0.1% FBS) (</w:t>
      </w:r>
      <w:hyperlink r:id="rId41" w:anchor="f2" w:history="1">
        <w:r w:rsidRPr="00A925E0">
          <w:rPr>
            <w:rFonts w:ascii="Times New Roman" w:eastAsia="Times New Roman" w:hAnsi="Times New Roman" w:cs="Times New Roman"/>
            <w:color w:val="0000FF"/>
            <w:kern w:val="0"/>
            <w:sz w:val="24"/>
            <w:szCs w:val="24"/>
            <w:u w:val="single"/>
            <w:lang w:val="en-GB" w:eastAsia="es-ES"/>
            <w14:ligatures w14:val="none"/>
          </w:rPr>
          <w:t>Figure 2E</w:t>
        </w:r>
      </w:hyperlink>
      <w:r w:rsidRPr="00A925E0">
        <w:rPr>
          <w:rFonts w:ascii="Times New Roman" w:eastAsia="Times New Roman" w:hAnsi="Times New Roman" w:cs="Times New Roman"/>
          <w:kern w:val="0"/>
          <w:sz w:val="24"/>
          <w:szCs w:val="24"/>
          <w:lang w:val="en-GB" w:eastAsia="es-ES"/>
          <w14:ligatures w14:val="none"/>
        </w:rPr>
        <w:t>). In contrast, AP20187 failed to significantly induce cell death if MEF were grown in media containing 10% FBS (</w:t>
      </w:r>
      <w:hyperlink r:id="rId42" w:anchor="f2" w:history="1">
        <w:r w:rsidRPr="00A925E0">
          <w:rPr>
            <w:rFonts w:ascii="Times New Roman" w:eastAsia="Times New Roman" w:hAnsi="Times New Roman" w:cs="Times New Roman"/>
            <w:color w:val="0000FF"/>
            <w:kern w:val="0"/>
            <w:sz w:val="24"/>
            <w:szCs w:val="24"/>
            <w:u w:val="single"/>
            <w:lang w:val="en-GB" w:eastAsia="es-ES"/>
            <w14:ligatures w14:val="none"/>
          </w:rPr>
          <w:t>Figure 2E</w:t>
        </w:r>
      </w:hyperlink>
      <w:r w:rsidRPr="00A925E0">
        <w:rPr>
          <w:rFonts w:ascii="Times New Roman" w:eastAsia="Times New Roman" w:hAnsi="Times New Roman" w:cs="Times New Roman"/>
          <w:kern w:val="0"/>
          <w:sz w:val="24"/>
          <w:szCs w:val="24"/>
          <w:lang w:val="en-GB" w:eastAsia="es-ES"/>
          <w14:ligatures w14:val="none"/>
        </w:rPr>
        <w:t>). We hypothesized that this could be due to the ATTAC system being particularly efficient in killing non-growing cells as these cells might have a lower threshold for triggering apoptosis. In support of this view, we want to note that despite the usefulness of this strategy it has only been previously used to target non-dividing cells such as adipocytes, pancreatic islet beta cells or senescent cells [</w:t>
      </w:r>
      <w:hyperlink r:id="rId43" w:anchor="r10" w:history="1">
        <w:r w:rsidRPr="00A925E0">
          <w:rPr>
            <w:rFonts w:ascii="Times New Roman" w:eastAsia="Times New Roman" w:hAnsi="Times New Roman" w:cs="Times New Roman"/>
            <w:color w:val="0000FF"/>
            <w:kern w:val="0"/>
            <w:sz w:val="24"/>
            <w:szCs w:val="24"/>
            <w:u w:val="single"/>
            <w:lang w:val="en-GB" w:eastAsia="es-ES"/>
            <w14:ligatures w14:val="none"/>
          </w:rPr>
          <w:t>10</w:t>
        </w:r>
      </w:hyperlink>
      <w:r w:rsidRPr="00A925E0">
        <w:rPr>
          <w:rFonts w:ascii="Times New Roman" w:eastAsia="Times New Roman" w:hAnsi="Times New Roman" w:cs="Times New Roman"/>
          <w:kern w:val="0"/>
          <w:sz w:val="24"/>
          <w:szCs w:val="24"/>
          <w:lang w:val="en-GB" w:eastAsia="es-ES"/>
          <w14:ligatures w14:val="none"/>
        </w:rPr>
        <w:t xml:space="preserve">, </w:t>
      </w:r>
      <w:hyperlink r:id="rId44" w:anchor="r14" w:history="1">
        <w:r w:rsidRPr="00A925E0">
          <w:rPr>
            <w:rFonts w:ascii="Times New Roman" w:eastAsia="Times New Roman" w:hAnsi="Times New Roman" w:cs="Times New Roman"/>
            <w:color w:val="0000FF"/>
            <w:kern w:val="0"/>
            <w:sz w:val="24"/>
            <w:szCs w:val="24"/>
            <w:u w:val="single"/>
            <w:lang w:val="en-GB" w:eastAsia="es-ES"/>
            <w14:ligatures w14:val="none"/>
          </w:rPr>
          <w:t>14</w:t>
        </w:r>
      </w:hyperlink>
      <w:r w:rsidRPr="00A925E0">
        <w:rPr>
          <w:rFonts w:ascii="Times New Roman" w:eastAsia="Times New Roman" w:hAnsi="Times New Roman" w:cs="Times New Roman"/>
          <w:kern w:val="0"/>
          <w:sz w:val="24"/>
          <w:szCs w:val="24"/>
          <w:lang w:val="en-GB" w:eastAsia="es-ES"/>
          <w14:ligatures w14:val="none"/>
        </w:rPr>
        <w:t xml:space="preserve">, </w:t>
      </w:r>
      <w:hyperlink r:id="rId45" w:anchor="r15" w:history="1">
        <w:r w:rsidRPr="00A925E0">
          <w:rPr>
            <w:rFonts w:ascii="Times New Roman" w:eastAsia="Times New Roman" w:hAnsi="Times New Roman" w:cs="Times New Roman"/>
            <w:color w:val="0000FF"/>
            <w:kern w:val="0"/>
            <w:sz w:val="24"/>
            <w:szCs w:val="24"/>
            <w:u w:val="single"/>
            <w:lang w:val="en-GB" w:eastAsia="es-ES"/>
            <w14:ligatures w14:val="none"/>
          </w:rPr>
          <w:t>15</w:t>
        </w:r>
      </w:hyperlink>
      <w:r w:rsidRPr="00A925E0">
        <w:rPr>
          <w:rFonts w:ascii="Times New Roman" w:eastAsia="Times New Roman" w:hAnsi="Times New Roman" w:cs="Times New Roman"/>
          <w:kern w:val="0"/>
          <w:sz w:val="24"/>
          <w:szCs w:val="24"/>
          <w:lang w:val="en-GB" w:eastAsia="es-ES"/>
          <w14:ligatures w14:val="none"/>
        </w:rPr>
        <w:t>].</w:t>
      </w:r>
    </w:p>
    <w:p w14:paraId="1D8209BD" w14:textId="77777777" w:rsidR="00A925E0" w:rsidRPr="00A925E0" w:rsidRDefault="00A925E0" w:rsidP="00A925E0">
      <w:pPr>
        <w:spacing w:after="0"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noProof/>
          <w:color w:val="0000FF"/>
          <w:kern w:val="0"/>
          <w:sz w:val="24"/>
          <w:szCs w:val="24"/>
          <w:lang w:eastAsia="es-ES"/>
          <w14:ligatures w14:val="none"/>
        </w:rPr>
        <w:lastRenderedPageBreak/>
        <w:drawing>
          <wp:inline distT="0" distB="0" distL="0" distR="0" wp14:anchorId="3C256F81" wp14:editId="03337DA9">
            <wp:extent cx="9715500" cy="9121140"/>
            <wp:effectExtent l="0" t="0" r="0" b="3810"/>
            <wp:docPr id="2" name="Imagen 3" descr="In vitro validation of the PD-L1ATTAC mouse model. (A) Western blot illustrating PD-L1 and EGFP expression in PD-L1+/+, PD-L1AT/+ and PD-L1AT/AT MEFs exposed or not to IFNγ (100 ng/ml) for 48 hours. (B, C) Flow cytometry (B) and immunofluorescence (C) analyses of EGFP and PD-L1 expression in PD-L1+/+, PD-L1AT/+ and PD-L1AT/AT MEFs exposed to IFNγ (100 ng/ml) for 48 hours. Scale bar (white) indicates 5 μm. (D) Two-dimensional dot plot from the flow cytometry data shown in (C) illustrating the correlation between EGFP and PD-L1 expression per cell. (E) Percentage of live cells by FACS in PD-L1+/+, PD-L1AT/+ and PD-L1AT/AT MEFs cultured in normal or low-serum media (0.1% FBS) containing IFNγ (10 ng/ml) and treated or not with AP20187 (100 nM). Cells were cultured in normal or low-serum media for 24 hours. The day after, cells were exposed or not to AP20187 for 72 hours. (F) FACS analyses of B220 and EGFP expression of splenocytes from PD-L1+/+ and PD-L1AT/+ mice cultured in IFNγ (10 ng/ml), LPS (10 ng/ml) and M-CSF (10 ng/ml) for 24 hours before exposition to AP20187 (100 nM) and caspase inhibitor I (20 μM) for 24 hours. Percentage of B220+ EGFP+ cells is shown.">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 vitro validation of the PD-L1ATTAC mouse model. (A) Western blot illustrating PD-L1 and EGFP expression in PD-L1+/+, PD-L1AT/+ and PD-L1AT/AT MEFs exposed or not to IFNγ (100 ng/ml) for 48 hours. (B, C) Flow cytometry (B) and immunofluorescence (C) analyses of EGFP and PD-L1 expression in PD-L1+/+, PD-L1AT/+ and PD-L1AT/AT MEFs exposed to IFNγ (100 ng/ml) for 48 hours. Scale bar (white) indicates 5 μm. (D) Two-dimensional dot plot from the flow cytometry data shown in (C) illustrating the correlation between EGFP and PD-L1 expression per cell. (E) Percentage of live cells by FACS in PD-L1+/+, PD-L1AT/+ and PD-L1AT/AT MEFs cultured in normal or low-serum media (0.1% FBS) containing IFNγ (10 ng/ml) and treated or not with AP20187 (100 nM). Cells were cultured in normal or low-serum media for 24 hours. The day after, cells were exposed or not to AP20187 for 72 hours. (F) FACS analyses of B220 and EGFP expression of splenocytes from PD-L1+/+ and PD-L1AT/+ mice cultured in IFNγ (10 ng/ml), LPS (10 ng/ml) and M-CSF (10 ng/ml) for 24 hours before exposition to AP20187 (100 nM) and caspase inhibitor I (20 μM) for 24 hours. Percentage of B220+ EGFP+ cells is shown.">
                      <a:hlinkClick r:id="rId46"/>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715500" cy="9121140"/>
                    </a:xfrm>
                    <a:prstGeom prst="rect">
                      <a:avLst/>
                    </a:prstGeom>
                    <a:noFill/>
                    <a:ln>
                      <a:noFill/>
                    </a:ln>
                  </pic:spPr>
                </pic:pic>
              </a:graphicData>
            </a:graphic>
          </wp:inline>
        </w:drawing>
      </w:r>
    </w:p>
    <w:p w14:paraId="20BC66C9"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b/>
          <w:bCs/>
          <w:kern w:val="0"/>
          <w:sz w:val="24"/>
          <w:szCs w:val="24"/>
          <w:lang w:val="en-GB" w:eastAsia="es-ES"/>
          <w14:ligatures w14:val="none"/>
        </w:rPr>
        <w:lastRenderedPageBreak/>
        <w:t>Figure 2.</w:t>
      </w:r>
      <w:r w:rsidRPr="00A925E0">
        <w:rPr>
          <w:rFonts w:ascii="Times New Roman" w:eastAsia="Times New Roman" w:hAnsi="Times New Roman" w:cs="Times New Roman"/>
          <w:kern w:val="0"/>
          <w:sz w:val="24"/>
          <w:szCs w:val="24"/>
          <w:lang w:val="en-GB" w:eastAsia="es-ES"/>
          <w14:ligatures w14:val="none"/>
        </w:rPr>
        <w:t xml:space="preserve"> </w:t>
      </w:r>
      <w:r w:rsidRPr="00A925E0">
        <w:rPr>
          <w:rFonts w:ascii="Times New Roman" w:eastAsia="Times New Roman" w:hAnsi="Times New Roman" w:cs="Times New Roman"/>
          <w:b/>
          <w:bCs/>
          <w:i/>
          <w:iCs/>
          <w:kern w:val="0"/>
          <w:sz w:val="24"/>
          <w:szCs w:val="24"/>
          <w:lang w:val="en-GB" w:eastAsia="es-ES"/>
          <w14:ligatures w14:val="none"/>
        </w:rPr>
        <w:t>In vitro</w:t>
      </w:r>
      <w:r w:rsidRPr="00A925E0">
        <w:rPr>
          <w:rFonts w:ascii="Times New Roman" w:eastAsia="Times New Roman" w:hAnsi="Times New Roman" w:cs="Times New Roman"/>
          <w:b/>
          <w:bCs/>
          <w:kern w:val="0"/>
          <w:sz w:val="24"/>
          <w:szCs w:val="24"/>
          <w:lang w:val="en-GB" w:eastAsia="es-ES"/>
          <w14:ligatures w14:val="none"/>
        </w:rPr>
        <w:t xml:space="preserve"> validation of the PD-L1</w:t>
      </w:r>
      <w:r w:rsidRPr="00A925E0">
        <w:rPr>
          <w:rFonts w:ascii="Times New Roman" w:eastAsia="Times New Roman" w:hAnsi="Times New Roman" w:cs="Times New Roman"/>
          <w:b/>
          <w:bCs/>
          <w:kern w:val="0"/>
          <w:sz w:val="24"/>
          <w:szCs w:val="24"/>
          <w:vertAlign w:val="superscript"/>
          <w:lang w:val="en-GB" w:eastAsia="es-ES"/>
          <w14:ligatures w14:val="none"/>
        </w:rPr>
        <w:t>ATTAC</w:t>
      </w:r>
      <w:r w:rsidRPr="00A925E0">
        <w:rPr>
          <w:rFonts w:ascii="Times New Roman" w:eastAsia="Times New Roman" w:hAnsi="Times New Roman" w:cs="Times New Roman"/>
          <w:b/>
          <w:bCs/>
          <w:kern w:val="0"/>
          <w:sz w:val="24"/>
          <w:szCs w:val="24"/>
          <w:lang w:val="en-GB" w:eastAsia="es-ES"/>
          <w14:ligatures w14:val="none"/>
        </w:rPr>
        <w:t xml:space="preserve"> mouse model.</w:t>
      </w:r>
      <w:r w:rsidRPr="00A925E0">
        <w:rPr>
          <w:rFonts w:ascii="Times New Roman" w:eastAsia="Times New Roman" w:hAnsi="Times New Roman" w:cs="Times New Roman"/>
          <w:kern w:val="0"/>
          <w:sz w:val="24"/>
          <w:szCs w:val="24"/>
          <w:lang w:val="en-GB" w:eastAsia="es-ES"/>
          <w14:ligatures w14:val="none"/>
        </w:rPr>
        <w:t xml:space="preserve"> (</w:t>
      </w:r>
      <w:r w:rsidRPr="00A925E0">
        <w:rPr>
          <w:rFonts w:ascii="Times New Roman" w:eastAsia="Times New Roman" w:hAnsi="Times New Roman" w:cs="Times New Roman"/>
          <w:b/>
          <w:bCs/>
          <w:kern w:val="0"/>
          <w:sz w:val="24"/>
          <w:szCs w:val="24"/>
          <w:lang w:val="en-GB" w:eastAsia="es-ES"/>
          <w14:ligatures w14:val="none"/>
        </w:rPr>
        <w:t>A</w:t>
      </w:r>
      <w:r w:rsidRPr="00A925E0">
        <w:rPr>
          <w:rFonts w:ascii="Times New Roman" w:eastAsia="Times New Roman" w:hAnsi="Times New Roman" w:cs="Times New Roman"/>
          <w:kern w:val="0"/>
          <w:sz w:val="24"/>
          <w:szCs w:val="24"/>
          <w:lang w:val="en-GB" w:eastAsia="es-ES"/>
          <w14:ligatures w14:val="none"/>
        </w:rPr>
        <w:t xml:space="preserve">) Western blot illustrating PD-L1 and EGFP expression in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i/>
          <w:iCs/>
          <w:kern w:val="0"/>
          <w:sz w:val="24"/>
          <w:szCs w:val="24"/>
          <w:lang w:val="en-GB" w:eastAsia="es-ES"/>
          <w14:ligatures w14:val="none"/>
        </w:rPr>
        <w:t>, 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MEFs exposed or not to IFN</w:t>
      </w:r>
      <w:r w:rsidRPr="00A925E0">
        <w:rPr>
          <w:rFonts w:ascii="Times New Roman" w:eastAsia="Times New Roman" w:hAnsi="Times New Roman" w:cs="Times New Roman"/>
          <w:kern w:val="0"/>
          <w:sz w:val="24"/>
          <w:szCs w:val="24"/>
          <w:lang w:eastAsia="es-ES"/>
          <w14:ligatures w14:val="none"/>
        </w:rPr>
        <w:t>γ</w:t>
      </w:r>
      <w:r w:rsidRPr="00A925E0">
        <w:rPr>
          <w:rFonts w:ascii="Times New Roman" w:eastAsia="Times New Roman" w:hAnsi="Times New Roman" w:cs="Times New Roman"/>
          <w:kern w:val="0"/>
          <w:sz w:val="24"/>
          <w:szCs w:val="24"/>
          <w:lang w:val="en-GB" w:eastAsia="es-ES"/>
          <w14:ligatures w14:val="none"/>
        </w:rPr>
        <w:t xml:space="preserve"> (100 ng/ml) for 48 hours. (</w:t>
      </w:r>
      <w:r w:rsidRPr="00A925E0">
        <w:rPr>
          <w:rFonts w:ascii="Times New Roman" w:eastAsia="Times New Roman" w:hAnsi="Times New Roman" w:cs="Times New Roman"/>
          <w:b/>
          <w:bCs/>
          <w:kern w:val="0"/>
          <w:sz w:val="24"/>
          <w:szCs w:val="24"/>
          <w:lang w:val="en-GB" w:eastAsia="es-ES"/>
          <w14:ligatures w14:val="none"/>
        </w:rPr>
        <w:t>B</w:t>
      </w:r>
      <w:r w:rsidRPr="00A925E0">
        <w:rPr>
          <w:rFonts w:ascii="Times New Roman" w:eastAsia="Times New Roman" w:hAnsi="Times New Roman" w:cs="Times New Roman"/>
          <w:kern w:val="0"/>
          <w:sz w:val="24"/>
          <w:szCs w:val="24"/>
          <w:lang w:val="en-GB" w:eastAsia="es-ES"/>
          <w14:ligatures w14:val="none"/>
        </w:rPr>
        <w:t xml:space="preserve">, </w:t>
      </w:r>
      <w:r w:rsidRPr="00A925E0">
        <w:rPr>
          <w:rFonts w:ascii="Times New Roman" w:eastAsia="Times New Roman" w:hAnsi="Times New Roman" w:cs="Times New Roman"/>
          <w:b/>
          <w:bCs/>
          <w:kern w:val="0"/>
          <w:sz w:val="24"/>
          <w:szCs w:val="24"/>
          <w:lang w:val="en-GB" w:eastAsia="es-ES"/>
          <w14:ligatures w14:val="none"/>
        </w:rPr>
        <w:t>C</w:t>
      </w:r>
      <w:r w:rsidRPr="00A925E0">
        <w:rPr>
          <w:rFonts w:ascii="Times New Roman" w:eastAsia="Times New Roman" w:hAnsi="Times New Roman" w:cs="Times New Roman"/>
          <w:kern w:val="0"/>
          <w:sz w:val="24"/>
          <w:szCs w:val="24"/>
          <w:lang w:val="en-GB" w:eastAsia="es-ES"/>
          <w14:ligatures w14:val="none"/>
        </w:rPr>
        <w:t>) Flow cytometry (</w:t>
      </w:r>
      <w:r w:rsidRPr="00A925E0">
        <w:rPr>
          <w:rFonts w:ascii="Times New Roman" w:eastAsia="Times New Roman" w:hAnsi="Times New Roman" w:cs="Times New Roman"/>
          <w:b/>
          <w:bCs/>
          <w:kern w:val="0"/>
          <w:sz w:val="24"/>
          <w:szCs w:val="24"/>
          <w:lang w:val="en-GB" w:eastAsia="es-ES"/>
          <w14:ligatures w14:val="none"/>
        </w:rPr>
        <w:t>B</w:t>
      </w:r>
      <w:r w:rsidRPr="00A925E0">
        <w:rPr>
          <w:rFonts w:ascii="Times New Roman" w:eastAsia="Times New Roman" w:hAnsi="Times New Roman" w:cs="Times New Roman"/>
          <w:kern w:val="0"/>
          <w:sz w:val="24"/>
          <w:szCs w:val="24"/>
          <w:lang w:val="en-GB" w:eastAsia="es-ES"/>
          <w14:ligatures w14:val="none"/>
        </w:rPr>
        <w:t>) and immunofluorescence (</w:t>
      </w:r>
      <w:r w:rsidRPr="00A925E0">
        <w:rPr>
          <w:rFonts w:ascii="Times New Roman" w:eastAsia="Times New Roman" w:hAnsi="Times New Roman" w:cs="Times New Roman"/>
          <w:b/>
          <w:bCs/>
          <w:kern w:val="0"/>
          <w:sz w:val="24"/>
          <w:szCs w:val="24"/>
          <w:lang w:val="en-GB" w:eastAsia="es-ES"/>
          <w14:ligatures w14:val="none"/>
        </w:rPr>
        <w:t>C</w:t>
      </w:r>
      <w:r w:rsidRPr="00A925E0">
        <w:rPr>
          <w:rFonts w:ascii="Times New Roman" w:eastAsia="Times New Roman" w:hAnsi="Times New Roman" w:cs="Times New Roman"/>
          <w:kern w:val="0"/>
          <w:sz w:val="24"/>
          <w:szCs w:val="24"/>
          <w:lang w:val="en-GB" w:eastAsia="es-ES"/>
          <w14:ligatures w14:val="none"/>
        </w:rPr>
        <w:t xml:space="preserve">) analyses of EGFP and PD-L1 expression in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i/>
          <w:iCs/>
          <w:kern w:val="0"/>
          <w:sz w:val="24"/>
          <w:szCs w:val="24"/>
          <w:lang w:val="en-GB" w:eastAsia="es-ES"/>
          <w14:ligatures w14:val="none"/>
        </w:rPr>
        <w:t>, 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MEFs exposed to IFN</w:t>
      </w:r>
      <w:r w:rsidRPr="00A925E0">
        <w:rPr>
          <w:rFonts w:ascii="Times New Roman" w:eastAsia="Times New Roman" w:hAnsi="Times New Roman" w:cs="Times New Roman"/>
          <w:kern w:val="0"/>
          <w:sz w:val="24"/>
          <w:szCs w:val="24"/>
          <w:lang w:eastAsia="es-ES"/>
          <w14:ligatures w14:val="none"/>
        </w:rPr>
        <w:t>γ</w:t>
      </w:r>
      <w:r w:rsidRPr="00A925E0">
        <w:rPr>
          <w:rFonts w:ascii="Times New Roman" w:eastAsia="Times New Roman" w:hAnsi="Times New Roman" w:cs="Times New Roman"/>
          <w:kern w:val="0"/>
          <w:sz w:val="24"/>
          <w:szCs w:val="24"/>
          <w:lang w:val="en-GB" w:eastAsia="es-ES"/>
          <w14:ligatures w14:val="none"/>
        </w:rPr>
        <w:t xml:space="preserve"> (100 ng/ml) for 48 hours. Scale bar (white) indicates 5 </w:t>
      </w:r>
      <w:r w:rsidRPr="00A925E0">
        <w:rPr>
          <w:rFonts w:ascii="Times New Roman" w:eastAsia="Times New Roman" w:hAnsi="Times New Roman" w:cs="Times New Roman"/>
          <w:kern w:val="0"/>
          <w:sz w:val="24"/>
          <w:szCs w:val="24"/>
          <w:lang w:eastAsia="es-ES"/>
          <w14:ligatures w14:val="none"/>
        </w:rPr>
        <w:t>μ</w:t>
      </w:r>
      <w:r w:rsidRPr="00A925E0">
        <w:rPr>
          <w:rFonts w:ascii="Times New Roman" w:eastAsia="Times New Roman" w:hAnsi="Times New Roman" w:cs="Times New Roman"/>
          <w:kern w:val="0"/>
          <w:sz w:val="24"/>
          <w:szCs w:val="24"/>
          <w:lang w:val="en-GB" w:eastAsia="es-ES"/>
          <w14:ligatures w14:val="none"/>
        </w:rPr>
        <w:t>m. (</w:t>
      </w:r>
      <w:r w:rsidRPr="00A925E0">
        <w:rPr>
          <w:rFonts w:ascii="Times New Roman" w:eastAsia="Times New Roman" w:hAnsi="Times New Roman" w:cs="Times New Roman"/>
          <w:b/>
          <w:bCs/>
          <w:kern w:val="0"/>
          <w:sz w:val="24"/>
          <w:szCs w:val="24"/>
          <w:lang w:val="en-GB" w:eastAsia="es-ES"/>
          <w14:ligatures w14:val="none"/>
        </w:rPr>
        <w:t>D</w:t>
      </w:r>
      <w:r w:rsidRPr="00A925E0">
        <w:rPr>
          <w:rFonts w:ascii="Times New Roman" w:eastAsia="Times New Roman" w:hAnsi="Times New Roman" w:cs="Times New Roman"/>
          <w:kern w:val="0"/>
          <w:sz w:val="24"/>
          <w:szCs w:val="24"/>
          <w:lang w:val="en-GB" w:eastAsia="es-ES"/>
          <w14:ligatures w14:val="none"/>
        </w:rPr>
        <w:t>) Two-dimensional dot plot from the flow cytometry data shown in (</w:t>
      </w:r>
      <w:r w:rsidRPr="00A925E0">
        <w:rPr>
          <w:rFonts w:ascii="Times New Roman" w:eastAsia="Times New Roman" w:hAnsi="Times New Roman" w:cs="Times New Roman"/>
          <w:b/>
          <w:bCs/>
          <w:kern w:val="0"/>
          <w:sz w:val="24"/>
          <w:szCs w:val="24"/>
          <w:lang w:val="en-GB" w:eastAsia="es-ES"/>
          <w14:ligatures w14:val="none"/>
        </w:rPr>
        <w:t>C</w:t>
      </w:r>
      <w:r w:rsidRPr="00A925E0">
        <w:rPr>
          <w:rFonts w:ascii="Times New Roman" w:eastAsia="Times New Roman" w:hAnsi="Times New Roman" w:cs="Times New Roman"/>
          <w:kern w:val="0"/>
          <w:sz w:val="24"/>
          <w:szCs w:val="24"/>
          <w:lang w:val="en-GB" w:eastAsia="es-ES"/>
          <w14:ligatures w14:val="none"/>
        </w:rPr>
        <w:t>) illustrating the correlation between EGFP and PD-L1 expression per cell. (</w:t>
      </w:r>
      <w:r w:rsidRPr="00A925E0">
        <w:rPr>
          <w:rFonts w:ascii="Times New Roman" w:eastAsia="Times New Roman" w:hAnsi="Times New Roman" w:cs="Times New Roman"/>
          <w:b/>
          <w:bCs/>
          <w:kern w:val="0"/>
          <w:sz w:val="24"/>
          <w:szCs w:val="24"/>
          <w:lang w:val="en-GB" w:eastAsia="es-ES"/>
          <w14:ligatures w14:val="none"/>
        </w:rPr>
        <w:t>E</w:t>
      </w:r>
      <w:r w:rsidRPr="00A925E0">
        <w:rPr>
          <w:rFonts w:ascii="Times New Roman" w:eastAsia="Times New Roman" w:hAnsi="Times New Roman" w:cs="Times New Roman"/>
          <w:kern w:val="0"/>
          <w:sz w:val="24"/>
          <w:szCs w:val="24"/>
          <w:lang w:val="en-GB" w:eastAsia="es-ES"/>
          <w14:ligatures w14:val="none"/>
        </w:rPr>
        <w:t xml:space="preserve">) Percentage of live cells by FACS in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i/>
          <w:iCs/>
          <w:kern w:val="0"/>
          <w:sz w:val="24"/>
          <w:szCs w:val="24"/>
          <w:lang w:val="en-GB" w:eastAsia="es-ES"/>
          <w14:ligatures w14:val="none"/>
        </w:rPr>
        <w:t>, 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MEFs cultured in normal or low-serum media (0.1% FBS) containing IFN</w:t>
      </w:r>
      <w:r w:rsidRPr="00A925E0">
        <w:rPr>
          <w:rFonts w:ascii="Times New Roman" w:eastAsia="Times New Roman" w:hAnsi="Times New Roman" w:cs="Times New Roman"/>
          <w:kern w:val="0"/>
          <w:sz w:val="24"/>
          <w:szCs w:val="24"/>
          <w:lang w:eastAsia="es-ES"/>
          <w14:ligatures w14:val="none"/>
        </w:rPr>
        <w:t>γ</w:t>
      </w:r>
      <w:r w:rsidRPr="00A925E0">
        <w:rPr>
          <w:rFonts w:ascii="Times New Roman" w:eastAsia="Times New Roman" w:hAnsi="Times New Roman" w:cs="Times New Roman"/>
          <w:kern w:val="0"/>
          <w:sz w:val="24"/>
          <w:szCs w:val="24"/>
          <w:lang w:val="en-GB" w:eastAsia="es-ES"/>
          <w14:ligatures w14:val="none"/>
        </w:rPr>
        <w:t xml:space="preserve"> (10 ng/ml) and treated or not with AP20187 (100 nM). Cells were cultured in normal or low-serum media for 24 hours. The day after, cells were exposed or not to AP20187 for 72 hours. (</w:t>
      </w:r>
      <w:r w:rsidRPr="00A925E0">
        <w:rPr>
          <w:rFonts w:ascii="Times New Roman" w:eastAsia="Times New Roman" w:hAnsi="Times New Roman" w:cs="Times New Roman"/>
          <w:b/>
          <w:bCs/>
          <w:kern w:val="0"/>
          <w:sz w:val="24"/>
          <w:szCs w:val="24"/>
          <w:lang w:val="en-GB" w:eastAsia="es-ES"/>
          <w14:ligatures w14:val="none"/>
        </w:rPr>
        <w:t>F</w:t>
      </w:r>
      <w:r w:rsidRPr="00A925E0">
        <w:rPr>
          <w:rFonts w:ascii="Times New Roman" w:eastAsia="Times New Roman" w:hAnsi="Times New Roman" w:cs="Times New Roman"/>
          <w:kern w:val="0"/>
          <w:sz w:val="24"/>
          <w:szCs w:val="24"/>
          <w:lang w:val="en-GB" w:eastAsia="es-ES"/>
          <w14:ligatures w14:val="none"/>
        </w:rPr>
        <w:t xml:space="preserve">) FACS analyses of B220 and EGFP expression of splenocytes from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kern w:val="0"/>
          <w:sz w:val="24"/>
          <w:szCs w:val="24"/>
          <w:lang w:val="en-GB" w:eastAsia="es-ES"/>
          <w14:ligatures w14:val="none"/>
        </w:rPr>
        <w:t xml:space="preserve">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mice cultured in IFN</w:t>
      </w:r>
      <w:r w:rsidRPr="00A925E0">
        <w:rPr>
          <w:rFonts w:ascii="Times New Roman" w:eastAsia="Times New Roman" w:hAnsi="Times New Roman" w:cs="Times New Roman"/>
          <w:kern w:val="0"/>
          <w:sz w:val="24"/>
          <w:szCs w:val="24"/>
          <w:lang w:eastAsia="es-ES"/>
          <w14:ligatures w14:val="none"/>
        </w:rPr>
        <w:t>γ</w:t>
      </w:r>
      <w:r w:rsidRPr="00A925E0">
        <w:rPr>
          <w:rFonts w:ascii="Times New Roman" w:eastAsia="Times New Roman" w:hAnsi="Times New Roman" w:cs="Times New Roman"/>
          <w:kern w:val="0"/>
          <w:sz w:val="24"/>
          <w:szCs w:val="24"/>
          <w:lang w:val="en-GB" w:eastAsia="es-ES"/>
          <w14:ligatures w14:val="none"/>
        </w:rPr>
        <w:t xml:space="preserve"> (10 ng/ml), LPS (10 ng/ml) and M-CSF (10 ng/ml) for 24 hours before exposition to AP20187 (100 nM) and caspase inhibitor I (20 </w:t>
      </w:r>
      <w:r w:rsidRPr="00A925E0">
        <w:rPr>
          <w:rFonts w:ascii="Times New Roman" w:eastAsia="Times New Roman" w:hAnsi="Times New Roman" w:cs="Times New Roman"/>
          <w:kern w:val="0"/>
          <w:sz w:val="24"/>
          <w:szCs w:val="24"/>
          <w:lang w:eastAsia="es-ES"/>
          <w14:ligatures w14:val="none"/>
        </w:rPr>
        <w:t>μ</w:t>
      </w:r>
      <w:r w:rsidRPr="00A925E0">
        <w:rPr>
          <w:rFonts w:ascii="Times New Roman" w:eastAsia="Times New Roman" w:hAnsi="Times New Roman" w:cs="Times New Roman"/>
          <w:kern w:val="0"/>
          <w:sz w:val="24"/>
          <w:szCs w:val="24"/>
          <w:lang w:val="en-GB" w:eastAsia="es-ES"/>
          <w14:ligatures w14:val="none"/>
        </w:rPr>
        <w:t>M) for 24 hours. Percentage of B220+ EGFP+ cells is shown.</w:t>
      </w:r>
    </w:p>
    <w:p w14:paraId="76BFFFAA"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lang w:val="en-GB" w:eastAsia="es-ES"/>
          <w14:ligatures w14:val="none"/>
        </w:rPr>
        <w:t xml:space="preserve">Next, and given that immune cells are the main source of PD-L1 </w:t>
      </w:r>
      <w:r w:rsidRPr="00A925E0">
        <w:rPr>
          <w:rFonts w:ascii="Times New Roman" w:eastAsia="Times New Roman" w:hAnsi="Times New Roman" w:cs="Times New Roman"/>
          <w:i/>
          <w:iCs/>
          <w:kern w:val="0"/>
          <w:sz w:val="24"/>
          <w:szCs w:val="24"/>
          <w:lang w:val="en-GB" w:eastAsia="es-ES"/>
          <w14:ligatures w14:val="none"/>
        </w:rPr>
        <w:t>in vivo</w:t>
      </w:r>
      <w:r w:rsidRPr="00A925E0">
        <w:rPr>
          <w:rFonts w:ascii="Times New Roman" w:eastAsia="Times New Roman" w:hAnsi="Times New Roman" w:cs="Times New Roman"/>
          <w:kern w:val="0"/>
          <w:sz w:val="24"/>
          <w:szCs w:val="24"/>
          <w:lang w:val="en-GB" w:eastAsia="es-ES"/>
          <w14:ligatures w14:val="none"/>
        </w:rPr>
        <w:t>, we isolated splenocytes from adult mice, stimulated B cells with LPS and treated the cultures with IFN</w:t>
      </w:r>
      <w:r w:rsidRPr="00A925E0">
        <w:rPr>
          <w:rFonts w:ascii="Times New Roman" w:eastAsia="Times New Roman" w:hAnsi="Times New Roman" w:cs="Times New Roman"/>
          <w:kern w:val="0"/>
          <w:sz w:val="24"/>
          <w:szCs w:val="24"/>
          <w:lang w:eastAsia="es-ES"/>
          <w14:ligatures w14:val="none"/>
        </w:rPr>
        <w:t>γ</w:t>
      </w:r>
      <w:r w:rsidRPr="00A925E0">
        <w:rPr>
          <w:rFonts w:ascii="Times New Roman" w:eastAsia="Times New Roman" w:hAnsi="Times New Roman" w:cs="Times New Roman"/>
          <w:kern w:val="0"/>
          <w:sz w:val="24"/>
          <w:szCs w:val="24"/>
          <w:lang w:val="en-GB" w:eastAsia="es-ES"/>
          <w14:ligatures w14:val="none"/>
        </w:rPr>
        <w:t xml:space="preserve"> to induce PD-L1 expression. These experiments revealed a clear population of EGFP positive B cells (identified on the basis of B220 expression), which was selectively killed upon treatment with AP20187 (</w:t>
      </w:r>
      <w:hyperlink r:id="rId48" w:anchor="f2" w:history="1">
        <w:r w:rsidRPr="00A925E0">
          <w:rPr>
            <w:rFonts w:ascii="Times New Roman" w:eastAsia="Times New Roman" w:hAnsi="Times New Roman" w:cs="Times New Roman"/>
            <w:color w:val="0000FF"/>
            <w:kern w:val="0"/>
            <w:sz w:val="24"/>
            <w:szCs w:val="24"/>
            <w:u w:val="single"/>
            <w:lang w:val="en-GB" w:eastAsia="es-ES"/>
            <w14:ligatures w14:val="none"/>
          </w:rPr>
          <w:t>Figure 2F</w:t>
        </w:r>
      </w:hyperlink>
      <w:r w:rsidRPr="00A925E0">
        <w:rPr>
          <w:rFonts w:ascii="Times New Roman" w:eastAsia="Times New Roman" w:hAnsi="Times New Roman" w:cs="Times New Roman"/>
          <w:kern w:val="0"/>
          <w:sz w:val="24"/>
          <w:szCs w:val="24"/>
          <w:lang w:val="en-GB" w:eastAsia="es-ES"/>
          <w14:ligatures w14:val="none"/>
        </w:rPr>
        <w:t>). Moreover, this cell killing could be prevented with a pan-caspase inhibitor, confirming that cell death was due to apoptosis (</w:t>
      </w:r>
      <w:hyperlink r:id="rId49" w:anchor="f2" w:history="1">
        <w:r w:rsidRPr="00A925E0">
          <w:rPr>
            <w:rFonts w:ascii="Times New Roman" w:eastAsia="Times New Roman" w:hAnsi="Times New Roman" w:cs="Times New Roman"/>
            <w:color w:val="0000FF"/>
            <w:kern w:val="0"/>
            <w:sz w:val="24"/>
            <w:szCs w:val="24"/>
            <w:u w:val="single"/>
            <w:lang w:val="en-GB" w:eastAsia="es-ES"/>
            <w14:ligatures w14:val="none"/>
          </w:rPr>
          <w:t>Figure 2F</w:t>
        </w:r>
      </w:hyperlink>
      <w:r w:rsidRPr="00A925E0">
        <w:rPr>
          <w:rFonts w:ascii="Times New Roman" w:eastAsia="Times New Roman" w:hAnsi="Times New Roman" w:cs="Times New Roman"/>
          <w:kern w:val="0"/>
          <w:sz w:val="24"/>
          <w:szCs w:val="24"/>
          <w:lang w:val="en-GB" w:eastAsia="es-ES"/>
          <w14:ligatures w14:val="none"/>
        </w:rPr>
        <w:t xml:space="preserve">). Collectively, these data indicate that the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allele is efficient for the tracing of 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kern w:val="0"/>
          <w:sz w:val="24"/>
          <w:szCs w:val="24"/>
          <w:lang w:val="en-GB" w:eastAsia="es-ES"/>
          <w14:ligatures w14:val="none"/>
        </w:rPr>
        <w:t xml:space="preserve"> cells, as well as for enabling their clearance in several cell types such as LPS-stimulated B cells or MEF.</w:t>
      </w:r>
    </w:p>
    <w:p w14:paraId="3EC00402"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val="en-GB" w:eastAsia="es-ES"/>
          <w14:ligatures w14:val="none"/>
        </w:rPr>
      </w:pPr>
      <w:r w:rsidRPr="00A925E0">
        <w:rPr>
          <w:rFonts w:ascii="Times New Roman" w:eastAsia="Times New Roman" w:hAnsi="Times New Roman" w:cs="Times New Roman"/>
          <w:b/>
          <w:bCs/>
          <w:i/>
          <w:iCs/>
          <w:kern w:val="0"/>
          <w:sz w:val="27"/>
          <w:szCs w:val="27"/>
          <w:lang w:val="en-GB" w:eastAsia="es-ES"/>
          <w14:ligatures w14:val="none"/>
        </w:rPr>
        <w:t>In vivo</w:t>
      </w:r>
      <w:r w:rsidRPr="00A925E0">
        <w:rPr>
          <w:rFonts w:ascii="Times New Roman" w:eastAsia="Times New Roman" w:hAnsi="Times New Roman" w:cs="Times New Roman"/>
          <w:b/>
          <w:bCs/>
          <w:kern w:val="0"/>
          <w:sz w:val="27"/>
          <w:szCs w:val="27"/>
          <w:lang w:val="en-GB" w:eastAsia="es-ES"/>
          <w14:ligatures w14:val="none"/>
        </w:rPr>
        <w:t xml:space="preserve"> validation of the PD-L1</w:t>
      </w:r>
      <w:r w:rsidRPr="00A925E0">
        <w:rPr>
          <w:rFonts w:ascii="Times New Roman" w:eastAsia="Times New Roman" w:hAnsi="Times New Roman" w:cs="Times New Roman"/>
          <w:b/>
          <w:bCs/>
          <w:kern w:val="0"/>
          <w:sz w:val="27"/>
          <w:szCs w:val="27"/>
          <w:vertAlign w:val="superscript"/>
          <w:lang w:val="en-GB" w:eastAsia="es-ES"/>
          <w14:ligatures w14:val="none"/>
        </w:rPr>
        <w:t>ATTAC</w:t>
      </w:r>
      <w:r w:rsidRPr="00A925E0">
        <w:rPr>
          <w:rFonts w:ascii="Times New Roman" w:eastAsia="Times New Roman" w:hAnsi="Times New Roman" w:cs="Times New Roman"/>
          <w:b/>
          <w:bCs/>
          <w:kern w:val="0"/>
          <w:sz w:val="27"/>
          <w:szCs w:val="27"/>
          <w:lang w:val="en-GB" w:eastAsia="es-ES"/>
          <w14:ligatures w14:val="none"/>
        </w:rPr>
        <w:t xml:space="preserve"> model</w:t>
      </w:r>
    </w:p>
    <w:p w14:paraId="6766A641"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val="en-GB" w:eastAsia="es-ES"/>
          <w14:ligatures w14:val="none"/>
        </w:rPr>
      </w:pPr>
      <w:r w:rsidRPr="00A925E0">
        <w:rPr>
          <w:rFonts w:ascii="Times New Roman" w:eastAsia="Times New Roman" w:hAnsi="Times New Roman" w:cs="Times New Roman"/>
          <w:kern w:val="0"/>
          <w:sz w:val="24"/>
          <w:szCs w:val="24"/>
          <w:lang w:val="en-GB" w:eastAsia="es-ES"/>
          <w14:ligatures w14:val="none"/>
        </w:rPr>
        <w:t xml:space="preserve">To evaluate the usefulness of the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ATTAC</w:t>
      </w:r>
      <w:r w:rsidRPr="00A925E0">
        <w:rPr>
          <w:rFonts w:ascii="Times New Roman" w:eastAsia="Times New Roman" w:hAnsi="Times New Roman" w:cs="Times New Roman"/>
          <w:kern w:val="0"/>
          <w:sz w:val="24"/>
          <w:szCs w:val="24"/>
          <w:lang w:val="en-GB" w:eastAsia="es-ES"/>
          <w14:ligatures w14:val="none"/>
        </w:rPr>
        <w:t xml:space="preserve"> allele as a reporter of PD-L1 expression </w:t>
      </w:r>
      <w:r w:rsidRPr="00A925E0">
        <w:rPr>
          <w:rFonts w:ascii="Times New Roman" w:eastAsia="Times New Roman" w:hAnsi="Times New Roman" w:cs="Times New Roman"/>
          <w:i/>
          <w:iCs/>
          <w:kern w:val="0"/>
          <w:sz w:val="24"/>
          <w:szCs w:val="24"/>
          <w:lang w:val="en-GB" w:eastAsia="es-ES"/>
          <w14:ligatures w14:val="none"/>
        </w:rPr>
        <w:t>in vivo</w:t>
      </w:r>
      <w:r w:rsidRPr="00A925E0">
        <w:rPr>
          <w:rFonts w:ascii="Times New Roman" w:eastAsia="Times New Roman" w:hAnsi="Times New Roman" w:cs="Times New Roman"/>
          <w:kern w:val="0"/>
          <w:sz w:val="24"/>
          <w:szCs w:val="24"/>
          <w:lang w:val="en-GB" w:eastAsia="es-ES"/>
          <w14:ligatures w14:val="none"/>
        </w:rPr>
        <w:t>, we first stained tissues of adult mice with an anti-EGFP antibody. As expected, EGFP expression was highest in organs from the immune system such as the spleen, lymph nodes, bone marrow or the thymus. In addition, scattered expression could also be detected in other organs such as the intestine, lungs or liver, while no expression was seen in the kidneys, pancreas, or hearts (</w:t>
      </w:r>
      <w:hyperlink r:id="rId50" w:anchor="f3" w:history="1">
        <w:r w:rsidRPr="00A925E0">
          <w:rPr>
            <w:rFonts w:ascii="Times New Roman" w:eastAsia="Times New Roman" w:hAnsi="Times New Roman" w:cs="Times New Roman"/>
            <w:color w:val="0000FF"/>
            <w:kern w:val="0"/>
            <w:sz w:val="24"/>
            <w:szCs w:val="24"/>
            <w:u w:val="single"/>
            <w:lang w:val="en-GB" w:eastAsia="es-ES"/>
            <w14:ligatures w14:val="none"/>
          </w:rPr>
          <w:t>Figure 3A</w:t>
        </w:r>
      </w:hyperlink>
      <w:r w:rsidRPr="00A925E0">
        <w:rPr>
          <w:rFonts w:ascii="Times New Roman" w:eastAsia="Times New Roman" w:hAnsi="Times New Roman" w:cs="Times New Roman"/>
          <w:kern w:val="0"/>
          <w:sz w:val="24"/>
          <w:szCs w:val="24"/>
          <w:lang w:val="en-GB" w:eastAsia="es-ES"/>
          <w14:ligatures w14:val="none"/>
        </w:rPr>
        <w:t xml:space="preserve"> and </w:t>
      </w:r>
      <w:hyperlink r:id="rId51" w:anchor="SD2" w:history="1">
        <w:r w:rsidRPr="00A925E0">
          <w:rPr>
            <w:rFonts w:ascii="Times New Roman" w:eastAsia="Times New Roman" w:hAnsi="Times New Roman" w:cs="Times New Roman"/>
            <w:color w:val="0000FF"/>
            <w:kern w:val="0"/>
            <w:sz w:val="24"/>
            <w:szCs w:val="24"/>
            <w:u w:val="single"/>
            <w:lang w:val="en-GB" w:eastAsia="es-ES"/>
            <w14:ligatures w14:val="none"/>
          </w:rPr>
          <w:t>Supplementary Figure 2A</w:t>
        </w:r>
      </w:hyperlink>
      <w:r w:rsidRPr="00A925E0">
        <w:rPr>
          <w:rFonts w:ascii="Times New Roman" w:eastAsia="Times New Roman" w:hAnsi="Times New Roman" w:cs="Times New Roman"/>
          <w:kern w:val="0"/>
          <w:sz w:val="24"/>
          <w:szCs w:val="24"/>
          <w:lang w:val="en-GB" w:eastAsia="es-ES"/>
          <w14:ligatures w14:val="none"/>
        </w:rPr>
        <w:t>). Similar observations were also made by WB (</w:t>
      </w:r>
      <w:hyperlink r:id="rId52" w:anchor="f3" w:history="1">
        <w:r w:rsidRPr="00A925E0">
          <w:rPr>
            <w:rFonts w:ascii="Times New Roman" w:eastAsia="Times New Roman" w:hAnsi="Times New Roman" w:cs="Times New Roman"/>
            <w:color w:val="0000FF"/>
            <w:kern w:val="0"/>
            <w:sz w:val="24"/>
            <w:szCs w:val="24"/>
            <w:u w:val="single"/>
            <w:lang w:val="en-GB" w:eastAsia="es-ES"/>
            <w14:ligatures w14:val="none"/>
          </w:rPr>
          <w:t>Figure 3B</w:t>
        </w:r>
      </w:hyperlink>
      <w:r w:rsidRPr="00A925E0">
        <w:rPr>
          <w:rFonts w:ascii="Times New Roman" w:eastAsia="Times New Roman" w:hAnsi="Times New Roman" w:cs="Times New Roman"/>
          <w:kern w:val="0"/>
          <w:sz w:val="24"/>
          <w:szCs w:val="24"/>
          <w:lang w:val="en-GB" w:eastAsia="es-ES"/>
          <w14:ligatures w14:val="none"/>
        </w:rPr>
        <w:t xml:space="preserve">). Importantly, dual staining in lungs from wt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animals identified that cells with cytoplasmic EGFP expression also presented PD-L1 on their membranes (</w:t>
      </w:r>
      <w:hyperlink r:id="rId53" w:anchor="f3" w:history="1">
        <w:r w:rsidRPr="00A925E0">
          <w:rPr>
            <w:rFonts w:ascii="Times New Roman" w:eastAsia="Times New Roman" w:hAnsi="Times New Roman" w:cs="Times New Roman"/>
            <w:color w:val="0000FF"/>
            <w:kern w:val="0"/>
            <w:sz w:val="24"/>
            <w:szCs w:val="24"/>
            <w:u w:val="single"/>
            <w:lang w:val="en-GB" w:eastAsia="es-ES"/>
            <w14:ligatures w14:val="none"/>
          </w:rPr>
          <w:t>Figure 3C</w:t>
        </w:r>
      </w:hyperlink>
      <w:r w:rsidRPr="00A925E0">
        <w:rPr>
          <w:rFonts w:ascii="Times New Roman" w:eastAsia="Times New Roman" w:hAnsi="Times New Roman" w:cs="Times New Roman"/>
          <w:kern w:val="0"/>
          <w:sz w:val="24"/>
          <w:szCs w:val="24"/>
          <w:lang w:val="en-GB" w:eastAsia="es-ES"/>
          <w14:ligatures w14:val="none"/>
        </w:rPr>
        <w:t xml:space="preserve">), further supporting the reporter nature of the introduced mutation. Furthermore, while EGFP expressing cells were readily seen in homozygous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lungs, these cells lacked PD-L1 expression, consistent with the null nature of the allele (</w:t>
      </w:r>
      <w:hyperlink r:id="rId54" w:anchor="f3" w:history="1">
        <w:r w:rsidRPr="00A925E0">
          <w:rPr>
            <w:rFonts w:ascii="Times New Roman" w:eastAsia="Times New Roman" w:hAnsi="Times New Roman" w:cs="Times New Roman"/>
            <w:color w:val="0000FF"/>
            <w:kern w:val="0"/>
            <w:sz w:val="24"/>
            <w:szCs w:val="24"/>
            <w:u w:val="single"/>
            <w:lang w:val="en-GB" w:eastAsia="es-ES"/>
            <w14:ligatures w14:val="none"/>
          </w:rPr>
          <w:t>Figure 3C</w:t>
        </w:r>
      </w:hyperlink>
      <w:r w:rsidRPr="00A925E0">
        <w:rPr>
          <w:rFonts w:ascii="Times New Roman" w:eastAsia="Times New Roman" w:hAnsi="Times New Roman" w:cs="Times New Roman"/>
          <w:kern w:val="0"/>
          <w:sz w:val="24"/>
          <w:szCs w:val="24"/>
          <w:lang w:val="en-GB" w:eastAsia="es-ES"/>
          <w14:ligatures w14:val="none"/>
        </w:rPr>
        <w:t xml:space="preserve">). Immunofluorescence experiments further identified cells expressing both PD-L1 and EGFP in lungs from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i/>
          <w:iCs/>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mice (</w:t>
      </w:r>
      <w:hyperlink r:id="rId55" w:anchor="f3" w:history="1">
        <w:r w:rsidRPr="00A925E0">
          <w:rPr>
            <w:rFonts w:ascii="Times New Roman" w:eastAsia="Times New Roman" w:hAnsi="Times New Roman" w:cs="Times New Roman"/>
            <w:color w:val="0000FF"/>
            <w:kern w:val="0"/>
            <w:sz w:val="24"/>
            <w:szCs w:val="24"/>
            <w:u w:val="single"/>
            <w:lang w:val="en-GB" w:eastAsia="es-ES"/>
            <w14:ligatures w14:val="none"/>
          </w:rPr>
          <w:t>Figure 3D</w:t>
        </w:r>
      </w:hyperlink>
      <w:r w:rsidRPr="00A925E0">
        <w:rPr>
          <w:rFonts w:ascii="Times New Roman" w:eastAsia="Times New Roman" w:hAnsi="Times New Roman" w:cs="Times New Roman"/>
          <w:kern w:val="0"/>
          <w:sz w:val="24"/>
          <w:szCs w:val="24"/>
          <w:lang w:val="en-GB" w:eastAsia="es-ES"/>
          <w14:ligatures w14:val="none"/>
        </w:rPr>
        <w:t>).</w:t>
      </w:r>
    </w:p>
    <w:p w14:paraId="6804EA2C" w14:textId="77777777" w:rsidR="00A925E0" w:rsidRPr="00A925E0" w:rsidRDefault="00A925E0" w:rsidP="00A925E0">
      <w:pPr>
        <w:spacing w:after="0"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noProof/>
          <w:color w:val="0000FF"/>
          <w:kern w:val="0"/>
          <w:sz w:val="24"/>
          <w:szCs w:val="24"/>
          <w:lang w:eastAsia="es-ES"/>
          <w14:ligatures w14:val="none"/>
        </w:rPr>
        <w:lastRenderedPageBreak/>
        <w:drawing>
          <wp:inline distT="0" distB="0" distL="0" distR="0" wp14:anchorId="69686F0B" wp14:editId="6678F11B">
            <wp:extent cx="9715500" cy="10736580"/>
            <wp:effectExtent l="0" t="0" r="0" b="7620"/>
            <wp:docPr id="3" name="Imagen 3" descr="In vivo validation of the PD-L1ATTAC mouse model. (A) EGFP immunohistochemistry (IHC) from the thymus, spleen and lymph nodes of PD-L1+/+, PD-L1AT/+ and PD-L1AT/AT mice. Scale bar (black) indicates 100 μm. (B) Western blot illustrating PD-L1 and EGFP expression in different organs of PD-L1AT/+ mice and the spleen of wt and PD-L1AT/AT mice. Actin and GAPDH were used as a loading control. (C) Representative images from a dual PD-L1 and EGFP IHC in lungs from PD-L1+/+, PD-L1AT/+ and PD-L1AT/AT mice. Arrows indicate examples EGFP expressing cells. The red arrow in the PD-L1AT/+ panel indicates an inset that is magnified in the right-hand corner to illustrate the appearance of cells expressing both EGFP and PD-L1. Scale bar (black) indicates 50 μm. (D) Representative image from a dual EGFP and PD-L1 IF in the lung of PD-L1AT/+. Scale bar (white) indicates 30 μM. (E) Percentage of EGFP+ cells as revealed by FACS in different organs from control and AP20187 -treated (AP) PD-L1AT/+ mice. AP20187 was administered via I.P. at 2.5 mg/kg for 3 days. The p value was calculated with unpaired t-test. Abbreviation: n.s.: non-significant; *p *p F) FACS analysis of PD-L1 expression as monitored by EGFP in peritoneal cells from PD-L1+/+, PD-L1AT/+ and PD-L1AT/AT mice treated or not with AP20187 (2.5 mg/kg) for 3 days. Percentage of EGFP+ cells is shown.">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 vivo validation of the PD-L1ATTAC mouse model. (A) EGFP immunohistochemistry (IHC) from the thymus, spleen and lymph nodes of PD-L1+/+, PD-L1AT/+ and PD-L1AT/AT mice. Scale bar (black) indicates 100 μm. (B) Western blot illustrating PD-L1 and EGFP expression in different organs of PD-L1AT/+ mice and the spleen of wt and PD-L1AT/AT mice. Actin and GAPDH were used as a loading control. (C) Representative images from a dual PD-L1 and EGFP IHC in lungs from PD-L1+/+, PD-L1AT/+ and PD-L1AT/AT mice. Arrows indicate examples EGFP expressing cells. The red arrow in the PD-L1AT/+ panel indicates an inset that is magnified in the right-hand corner to illustrate the appearance of cells expressing both EGFP and PD-L1. Scale bar (black) indicates 50 μm. (D) Representative image from a dual EGFP and PD-L1 IF in the lung of PD-L1AT/+. Scale bar (white) indicates 30 μM. (E) Percentage of EGFP+ cells as revealed by FACS in different organs from control and AP20187 -treated (AP) PD-L1AT/+ mice. AP20187 was administered via I.P. at 2.5 mg/kg for 3 days. The p value was calculated with unpaired t-test. Abbreviation: n.s.: non-significant; *p *p F) FACS analysis of PD-L1 expression as monitored by EGFP in peritoneal cells from PD-L1+/+, PD-L1AT/+ and PD-L1AT/AT mice treated or not with AP20187 (2.5 mg/kg) for 3 days. Percentage of EGFP+ cells is shown.">
                      <a:hlinkClick r:id="rId56"/>
                    </pic:cNvP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9715500" cy="10736580"/>
                    </a:xfrm>
                    <a:prstGeom prst="rect">
                      <a:avLst/>
                    </a:prstGeom>
                    <a:noFill/>
                    <a:ln>
                      <a:noFill/>
                    </a:ln>
                  </pic:spPr>
                </pic:pic>
              </a:graphicData>
            </a:graphic>
          </wp:inline>
        </w:drawing>
      </w:r>
    </w:p>
    <w:p w14:paraId="1F987CAB"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val="en-GB" w:eastAsia="es-ES"/>
          <w14:ligatures w14:val="none"/>
        </w:rPr>
        <w:lastRenderedPageBreak/>
        <w:t>Figure 3.</w:t>
      </w:r>
      <w:r w:rsidRPr="00A925E0">
        <w:rPr>
          <w:rFonts w:ascii="Times New Roman" w:eastAsia="Times New Roman" w:hAnsi="Times New Roman" w:cs="Times New Roman"/>
          <w:kern w:val="0"/>
          <w:sz w:val="24"/>
          <w:szCs w:val="24"/>
          <w:lang w:val="en-GB" w:eastAsia="es-ES"/>
          <w14:ligatures w14:val="none"/>
        </w:rPr>
        <w:t xml:space="preserve"> </w:t>
      </w:r>
      <w:r w:rsidRPr="00A925E0">
        <w:rPr>
          <w:rFonts w:ascii="Times New Roman" w:eastAsia="Times New Roman" w:hAnsi="Times New Roman" w:cs="Times New Roman"/>
          <w:b/>
          <w:bCs/>
          <w:i/>
          <w:iCs/>
          <w:kern w:val="0"/>
          <w:sz w:val="24"/>
          <w:szCs w:val="24"/>
          <w:lang w:val="en-GB" w:eastAsia="es-ES"/>
          <w14:ligatures w14:val="none"/>
        </w:rPr>
        <w:t>In vivo</w:t>
      </w:r>
      <w:r w:rsidRPr="00A925E0">
        <w:rPr>
          <w:rFonts w:ascii="Times New Roman" w:eastAsia="Times New Roman" w:hAnsi="Times New Roman" w:cs="Times New Roman"/>
          <w:b/>
          <w:bCs/>
          <w:kern w:val="0"/>
          <w:sz w:val="24"/>
          <w:szCs w:val="24"/>
          <w:lang w:val="en-GB" w:eastAsia="es-ES"/>
          <w14:ligatures w14:val="none"/>
        </w:rPr>
        <w:t xml:space="preserve"> validation of the PD-L1</w:t>
      </w:r>
      <w:r w:rsidRPr="00A925E0">
        <w:rPr>
          <w:rFonts w:ascii="Times New Roman" w:eastAsia="Times New Roman" w:hAnsi="Times New Roman" w:cs="Times New Roman"/>
          <w:b/>
          <w:bCs/>
          <w:kern w:val="0"/>
          <w:sz w:val="24"/>
          <w:szCs w:val="24"/>
          <w:vertAlign w:val="superscript"/>
          <w:lang w:val="en-GB" w:eastAsia="es-ES"/>
          <w14:ligatures w14:val="none"/>
        </w:rPr>
        <w:t>ATTAC</w:t>
      </w:r>
      <w:r w:rsidRPr="00A925E0">
        <w:rPr>
          <w:rFonts w:ascii="Times New Roman" w:eastAsia="Times New Roman" w:hAnsi="Times New Roman" w:cs="Times New Roman"/>
          <w:b/>
          <w:bCs/>
          <w:kern w:val="0"/>
          <w:sz w:val="24"/>
          <w:szCs w:val="24"/>
          <w:lang w:val="en-GB" w:eastAsia="es-ES"/>
          <w14:ligatures w14:val="none"/>
        </w:rPr>
        <w:t xml:space="preserve"> mouse model.</w:t>
      </w:r>
      <w:r w:rsidRPr="00A925E0">
        <w:rPr>
          <w:rFonts w:ascii="Times New Roman" w:eastAsia="Times New Roman" w:hAnsi="Times New Roman" w:cs="Times New Roman"/>
          <w:kern w:val="0"/>
          <w:sz w:val="24"/>
          <w:szCs w:val="24"/>
          <w:lang w:val="en-GB" w:eastAsia="es-ES"/>
          <w14:ligatures w14:val="none"/>
        </w:rPr>
        <w:t xml:space="preserve"> (</w:t>
      </w:r>
      <w:r w:rsidRPr="00A925E0">
        <w:rPr>
          <w:rFonts w:ascii="Times New Roman" w:eastAsia="Times New Roman" w:hAnsi="Times New Roman" w:cs="Times New Roman"/>
          <w:b/>
          <w:bCs/>
          <w:kern w:val="0"/>
          <w:sz w:val="24"/>
          <w:szCs w:val="24"/>
          <w:lang w:val="en-GB" w:eastAsia="es-ES"/>
          <w14:ligatures w14:val="none"/>
        </w:rPr>
        <w:t>A</w:t>
      </w:r>
      <w:r w:rsidRPr="00A925E0">
        <w:rPr>
          <w:rFonts w:ascii="Times New Roman" w:eastAsia="Times New Roman" w:hAnsi="Times New Roman" w:cs="Times New Roman"/>
          <w:kern w:val="0"/>
          <w:sz w:val="24"/>
          <w:szCs w:val="24"/>
          <w:lang w:val="en-GB" w:eastAsia="es-ES"/>
          <w14:ligatures w14:val="none"/>
        </w:rPr>
        <w:t xml:space="preserve">) EGFP immunohistochemistry (IHC) from the thymus, spleen and lymph nodes of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i/>
          <w:iCs/>
          <w:kern w:val="0"/>
          <w:sz w:val="24"/>
          <w:szCs w:val="24"/>
          <w:lang w:val="en-GB" w:eastAsia="es-ES"/>
          <w14:ligatures w14:val="none"/>
        </w:rPr>
        <w:t>, 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mice. Scale bar (black) indicates 100 </w:t>
      </w:r>
      <w:r w:rsidRPr="00A925E0">
        <w:rPr>
          <w:rFonts w:ascii="Times New Roman" w:eastAsia="Times New Roman" w:hAnsi="Times New Roman" w:cs="Times New Roman"/>
          <w:kern w:val="0"/>
          <w:sz w:val="24"/>
          <w:szCs w:val="24"/>
          <w:lang w:eastAsia="es-ES"/>
          <w14:ligatures w14:val="none"/>
        </w:rPr>
        <w:t>μ</w:t>
      </w:r>
      <w:r w:rsidRPr="00A925E0">
        <w:rPr>
          <w:rFonts w:ascii="Times New Roman" w:eastAsia="Times New Roman" w:hAnsi="Times New Roman" w:cs="Times New Roman"/>
          <w:kern w:val="0"/>
          <w:sz w:val="24"/>
          <w:szCs w:val="24"/>
          <w:lang w:val="en-GB" w:eastAsia="es-ES"/>
          <w14:ligatures w14:val="none"/>
        </w:rPr>
        <w:t>m. (</w:t>
      </w:r>
      <w:r w:rsidRPr="00A925E0">
        <w:rPr>
          <w:rFonts w:ascii="Times New Roman" w:eastAsia="Times New Roman" w:hAnsi="Times New Roman" w:cs="Times New Roman"/>
          <w:b/>
          <w:bCs/>
          <w:kern w:val="0"/>
          <w:sz w:val="24"/>
          <w:szCs w:val="24"/>
          <w:lang w:val="en-GB" w:eastAsia="es-ES"/>
          <w14:ligatures w14:val="none"/>
        </w:rPr>
        <w:t>B</w:t>
      </w:r>
      <w:r w:rsidRPr="00A925E0">
        <w:rPr>
          <w:rFonts w:ascii="Times New Roman" w:eastAsia="Times New Roman" w:hAnsi="Times New Roman" w:cs="Times New Roman"/>
          <w:kern w:val="0"/>
          <w:sz w:val="24"/>
          <w:szCs w:val="24"/>
          <w:lang w:val="en-GB" w:eastAsia="es-ES"/>
          <w14:ligatures w14:val="none"/>
        </w:rPr>
        <w:t xml:space="preserve">) Western blot illustrating PD-L1 and EGFP expression in different organs of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mice and the spleen of wt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mice. Actin and GAPDH were used as a loading control. (</w:t>
      </w:r>
      <w:r w:rsidRPr="00A925E0">
        <w:rPr>
          <w:rFonts w:ascii="Times New Roman" w:eastAsia="Times New Roman" w:hAnsi="Times New Roman" w:cs="Times New Roman"/>
          <w:b/>
          <w:bCs/>
          <w:kern w:val="0"/>
          <w:sz w:val="24"/>
          <w:szCs w:val="24"/>
          <w:lang w:val="en-GB" w:eastAsia="es-ES"/>
          <w14:ligatures w14:val="none"/>
        </w:rPr>
        <w:t>C</w:t>
      </w:r>
      <w:r w:rsidRPr="00A925E0">
        <w:rPr>
          <w:rFonts w:ascii="Times New Roman" w:eastAsia="Times New Roman" w:hAnsi="Times New Roman" w:cs="Times New Roman"/>
          <w:kern w:val="0"/>
          <w:sz w:val="24"/>
          <w:szCs w:val="24"/>
          <w:lang w:val="en-GB" w:eastAsia="es-ES"/>
          <w14:ligatures w14:val="none"/>
        </w:rPr>
        <w:t xml:space="preserve">) Representative images from a dual PD-L1 and EGFP IHC in lungs from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w:t>
      </w:r>
      <w:r w:rsidRPr="00A925E0">
        <w:rPr>
          <w:rFonts w:ascii="Times New Roman" w:eastAsia="Times New Roman" w:hAnsi="Times New Roman" w:cs="Times New Roman"/>
          <w:i/>
          <w:iCs/>
          <w:kern w:val="0"/>
          <w:sz w:val="24"/>
          <w:szCs w:val="24"/>
          <w:lang w:val="en-GB" w:eastAsia="es-ES"/>
          <w14:ligatures w14:val="none"/>
        </w:rPr>
        <w:t>, 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and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AT/AT</w:t>
      </w:r>
      <w:r w:rsidRPr="00A925E0">
        <w:rPr>
          <w:rFonts w:ascii="Times New Roman" w:eastAsia="Times New Roman" w:hAnsi="Times New Roman" w:cs="Times New Roman"/>
          <w:kern w:val="0"/>
          <w:sz w:val="24"/>
          <w:szCs w:val="24"/>
          <w:lang w:val="en-GB" w:eastAsia="es-ES"/>
          <w14:ligatures w14:val="none"/>
        </w:rPr>
        <w:t xml:space="preserve"> mice. Arrows indicate examples EGFP expressing cells. The red arrow in the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panel indicates an inset that is magnified in the right-hand corner to illustrate the appearance of cells expressing both EGFP and PD-L1. Scale bar (black) indicates 50 </w:t>
      </w:r>
      <w:r w:rsidRPr="00A925E0">
        <w:rPr>
          <w:rFonts w:ascii="Times New Roman" w:eastAsia="Times New Roman" w:hAnsi="Times New Roman" w:cs="Times New Roman"/>
          <w:kern w:val="0"/>
          <w:sz w:val="24"/>
          <w:szCs w:val="24"/>
          <w:lang w:eastAsia="es-ES"/>
          <w14:ligatures w14:val="none"/>
        </w:rPr>
        <w:t>μ</w:t>
      </w:r>
      <w:r w:rsidRPr="00A925E0">
        <w:rPr>
          <w:rFonts w:ascii="Times New Roman" w:eastAsia="Times New Roman" w:hAnsi="Times New Roman" w:cs="Times New Roman"/>
          <w:kern w:val="0"/>
          <w:sz w:val="24"/>
          <w:szCs w:val="24"/>
          <w:lang w:val="en-GB" w:eastAsia="es-ES"/>
          <w14:ligatures w14:val="none"/>
        </w:rPr>
        <w:t>m. (</w:t>
      </w:r>
      <w:r w:rsidRPr="00A925E0">
        <w:rPr>
          <w:rFonts w:ascii="Times New Roman" w:eastAsia="Times New Roman" w:hAnsi="Times New Roman" w:cs="Times New Roman"/>
          <w:b/>
          <w:bCs/>
          <w:kern w:val="0"/>
          <w:sz w:val="24"/>
          <w:szCs w:val="24"/>
          <w:lang w:val="en-GB" w:eastAsia="es-ES"/>
          <w14:ligatures w14:val="none"/>
        </w:rPr>
        <w:t>D</w:t>
      </w:r>
      <w:r w:rsidRPr="00A925E0">
        <w:rPr>
          <w:rFonts w:ascii="Times New Roman" w:eastAsia="Times New Roman" w:hAnsi="Times New Roman" w:cs="Times New Roman"/>
          <w:kern w:val="0"/>
          <w:sz w:val="24"/>
          <w:szCs w:val="24"/>
          <w:lang w:val="en-GB" w:eastAsia="es-ES"/>
          <w14:ligatures w14:val="none"/>
        </w:rPr>
        <w:t xml:space="preserve">) Representative image from a dual EGFP and PD-L1 IF in the lung of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Scale bar (white) indicates 30 </w:t>
      </w:r>
      <w:r w:rsidRPr="00A925E0">
        <w:rPr>
          <w:rFonts w:ascii="Times New Roman" w:eastAsia="Times New Roman" w:hAnsi="Times New Roman" w:cs="Times New Roman"/>
          <w:kern w:val="0"/>
          <w:sz w:val="24"/>
          <w:szCs w:val="24"/>
          <w:lang w:eastAsia="es-ES"/>
          <w14:ligatures w14:val="none"/>
        </w:rPr>
        <w:t>μ</w:t>
      </w:r>
      <w:r w:rsidRPr="00A925E0">
        <w:rPr>
          <w:rFonts w:ascii="Times New Roman" w:eastAsia="Times New Roman" w:hAnsi="Times New Roman" w:cs="Times New Roman"/>
          <w:kern w:val="0"/>
          <w:sz w:val="24"/>
          <w:szCs w:val="24"/>
          <w:lang w:val="en-GB" w:eastAsia="es-ES"/>
          <w14:ligatures w14:val="none"/>
        </w:rPr>
        <w:t>M. (</w:t>
      </w:r>
      <w:r w:rsidRPr="00A925E0">
        <w:rPr>
          <w:rFonts w:ascii="Times New Roman" w:eastAsia="Times New Roman" w:hAnsi="Times New Roman" w:cs="Times New Roman"/>
          <w:b/>
          <w:bCs/>
          <w:kern w:val="0"/>
          <w:sz w:val="24"/>
          <w:szCs w:val="24"/>
          <w:lang w:val="en-GB" w:eastAsia="es-ES"/>
          <w14:ligatures w14:val="none"/>
        </w:rPr>
        <w:t>E</w:t>
      </w:r>
      <w:r w:rsidRPr="00A925E0">
        <w:rPr>
          <w:rFonts w:ascii="Times New Roman" w:eastAsia="Times New Roman" w:hAnsi="Times New Roman" w:cs="Times New Roman"/>
          <w:kern w:val="0"/>
          <w:sz w:val="24"/>
          <w:szCs w:val="24"/>
          <w:lang w:val="en-GB" w:eastAsia="es-ES"/>
          <w14:ligatures w14:val="none"/>
        </w:rPr>
        <w:t xml:space="preserve">) Percentage of EGFP+ cells as revealed by FACS in different organs from control and AP20187 -treated (AP) </w:t>
      </w:r>
      <w:r w:rsidRPr="00A925E0">
        <w:rPr>
          <w:rFonts w:ascii="Times New Roman" w:eastAsia="Times New Roman" w:hAnsi="Times New Roman" w:cs="Times New Roman"/>
          <w:i/>
          <w:iCs/>
          <w:kern w:val="0"/>
          <w:sz w:val="24"/>
          <w:szCs w:val="24"/>
          <w:lang w:val="en-GB" w:eastAsia="es-ES"/>
          <w14:ligatures w14:val="none"/>
        </w:rPr>
        <w:t>PD-L1</w:t>
      </w:r>
      <w:r w:rsidRPr="00A925E0">
        <w:rPr>
          <w:rFonts w:ascii="Times New Roman" w:eastAsia="Times New Roman" w:hAnsi="Times New Roman" w:cs="Times New Roman"/>
          <w:kern w:val="0"/>
          <w:sz w:val="24"/>
          <w:szCs w:val="24"/>
          <w:vertAlign w:val="superscript"/>
          <w:lang w:val="en-GB" w:eastAsia="es-ES"/>
          <w14:ligatures w14:val="none"/>
        </w:rPr>
        <w:t>AT/+</w:t>
      </w:r>
      <w:r w:rsidRPr="00A925E0">
        <w:rPr>
          <w:rFonts w:ascii="Times New Roman" w:eastAsia="Times New Roman" w:hAnsi="Times New Roman" w:cs="Times New Roman"/>
          <w:kern w:val="0"/>
          <w:sz w:val="24"/>
          <w:szCs w:val="24"/>
          <w:lang w:val="en-GB" w:eastAsia="es-ES"/>
          <w14:ligatures w14:val="none"/>
        </w:rPr>
        <w:t xml:space="preserve"> mice. AP20187 was administered via I.P. at 2.5 mg/kg for 3 days. </w:t>
      </w:r>
      <w:r w:rsidRPr="00A925E0">
        <w:rPr>
          <w:rFonts w:ascii="Times New Roman" w:eastAsia="Times New Roman" w:hAnsi="Times New Roman" w:cs="Times New Roman"/>
          <w:kern w:val="0"/>
          <w:sz w:val="24"/>
          <w:szCs w:val="24"/>
          <w:lang w:eastAsia="es-ES"/>
          <w14:ligatures w14:val="none"/>
        </w:rPr>
        <w:t xml:space="preserve">The </w:t>
      </w:r>
      <w:r w:rsidRPr="00A925E0">
        <w:rPr>
          <w:rFonts w:ascii="Times New Roman" w:eastAsia="Times New Roman" w:hAnsi="Times New Roman" w:cs="Times New Roman"/>
          <w:i/>
          <w:iCs/>
          <w:kern w:val="0"/>
          <w:sz w:val="24"/>
          <w:szCs w:val="24"/>
          <w:lang w:eastAsia="es-ES"/>
          <w14:ligatures w14:val="none"/>
        </w:rPr>
        <w:t>p</w:t>
      </w:r>
      <w:r w:rsidRPr="00A925E0">
        <w:rPr>
          <w:rFonts w:ascii="Times New Roman" w:eastAsia="Times New Roman" w:hAnsi="Times New Roman" w:cs="Times New Roman"/>
          <w:kern w:val="0"/>
          <w:sz w:val="24"/>
          <w:szCs w:val="24"/>
          <w:lang w:eastAsia="es-ES"/>
          <w14:ligatures w14:val="none"/>
        </w:rPr>
        <w:t xml:space="preserve"> value was calculated with unpaired </w:t>
      </w:r>
      <w:r w:rsidRPr="00A925E0">
        <w:rPr>
          <w:rFonts w:ascii="Times New Roman" w:eastAsia="Times New Roman" w:hAnsi="Times New Roman" w:cs="Times New Roman"/>
          <w:i/>
          <w:iCs/>
          <w:kern w:val="0"/>
          <w:sz w:val="24"/>
          <w:szCs w:val="24"/>
          <w:lang w:eastAsia="es-ES"/>
          <w14:ligatures w14:val="none"/>
        </w:rPr>
        <w:t>t</w:t>
      </w:r>
      <w:r w:rsidRPr="00A925E0">
        <w:rPr>
          <w:rFonts w:ascii="Times New Roman" w:eastAsia="Times New Roman" w:hAnsi="Times New Roman" w:cs="Times New Roman"/>
          <w:kern w:val="0"/>
          <w:sz w:val="24"/>
          <w:szCs w:val="24"/>
          <w:lang w:eastAsia="es-ES"/>
          <w14:ligatures w14:val="none"/>
        </w:rPr>
        <w:t xml:space="preserve">-test. Abbreviation: n.s.: non-significant; </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i/>
          <w:iCs/>
          <w:kern w:val="0"/>
          <w:sz w:val="24"/>
          <w:szCs w:val="24"/>
          <w:lang w:eastAsia="es-ES"/>
          <w14:ligatures w14:val="none"/>
        </w:rPr>
        <w:t>p</w:t>
      </w:r>
      <w:r w:rsidRPr="00A925E0">
        <w:rPr>
          <w:rFonts w:ascii="Times New Roman" w:eastAsia="Times New Roman" w:hAnsi="Times New Roman" w:cs="Times New Roman"/>
          <w:kern w:val="0"/>
          <w:sz w:val="24"/>
          <w:szCs w:val="24"/>
          <w:lang w:eastAsia="es-ES"/>
          <w14:ligatures w14:val="none"/>
        </w:rPr>
        <w:t xml:space="preserve"> &lt; 0.05. </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i/>
          <w:iCs/>
          <w:kern w:val="0"/>
          <w:sz w:val="24"/>
          <w:szCs w:val="24"/>
          <w:lang w:eastAsia="es-ES"/>
          <w14:ligatures w14:val="none"/>
        </w:rPr>
        <w:t>p</w:t>
      </w:r>
      <w:r w:rsidRPr="00A925E0">
        <w:rPr>
          <w:rFonts w:ascii="Times New Roman" w:eastAsia="Times New Roman" w:hAnsi="Times New Roman" w:cs="Times New Roman"/>
          <w:kern w:val="0"/>
          <w:sz w:val="24"/>
          <w:szCs w:val="24"/>
          <w:lang w:eastAsia="es-ES"/>
          <w14:ligatures w14:val="none"/>
        </w:rPr>
        <w:t xml:space="preserve"> &lt; 0.01 (</w:t>
      </w:r>
      <w:r w:rsidRPr="00A925E0">
        <w:rPr>
          <w:rFonts w:ascii="Times New Roman" w:eastAsia="Times New Roman" w:hAnsi="Times New Roman" w:cs="Times New Roman"/>
          <w:b/>
          <w:bCs/>
          <w:kern w:val="0"/>
          <w:sz w:val="24"/>
          <w:szCs w:val="24"/>
          <w:lang w:eastAsia="es-ES"/>
          <w14:ligatures w14:val="none"/>
        </w:rPr>
        <w:t>F</w:t>
      </w:r>
      <w:r w:rsidRPr="00A925E0">
        <w:rPr>
          <w:rFonts w:ascii="Times New Roman" w:eastAsia="Times New Roman" w:hAnsi="Times New Roman" w:cs="Times New Roman"/>
          <w:kern w:val="0"/>
          <w:sz w:val="24"/>
          <w:szCs w:val="24"/>
          <w:lang w:eastAsia="es-ES"/>
          <w14:ligatures w14:val="none"/>
        </w:rPr>
        <w:t xml:space="preserve">) FACS analysis of PD-L1 expression as monitored by EGFP in peritoneal cells from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i/>
          <w:iCs/>
          <w:kern w:val="0"/>
          <w:sz w:val="24"/>
          <w:szCs w:val="24"/>
          <w:lang w:eastAsia="es-ES"/>
          <w14:ligatures w14:val="none"/>
        </w:rPr>
        <w:t>, PD-L1</w:t>
      </w:r>
      <w:r w:rsidRPr="00A925E0">
        <w:rPr>
          <w:rFonts w:ascii="Times New Roman" w:eastAsia="Times New Roman" w:hAnsi="Times New Roman" w:cs="Times New Roman"/>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and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kern w:val="0"/>
          <w:sz w:val="24"/>
          <w:szCs w:val="24"/>
          <w:vertAlign w:val="superscript"/>
          <w:lang w:eastAsia="es-ES"/>
          <w14:ligatures w14:val="none"/>
        </w:rPr>
        <w:t>AT/AT</w:t>
      </w:r>
      <w:r w:rsidRPr="00A925E0">
        <w:rPr>
          <w:rFonts w:ascii="Times New Roman" w:eastAsia="Times New Roman" w:hAnsi="Times New Roman" w:cs="Times New Roman"/>
          <w:kern w:val="0"/>
          <w:sz w:val="24"/>
          <w:szCs w:val="24"/>
          <w:lang w:eastAsia="es-ES"/>
          <w14:ligatures w14:val="none"/>
        </w:rPr>
        <w:t xml:space="preserve"> mice treated or not with AP20187 (2.5 mg/kg) for 3 days. Percentage of EGFP+ cells is shown.</w:t>
      </w:r>
    </w:p>
    <w:p w14:paraId="37F36811"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In what regards to the inducible-suicidal properties, we first evaluated the effects of an intraperitoneal (i.p.) administration of AP20187 in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ATTAC</w:t>
      </w:r>
      <w:r w:rsidRPr="00A925E0">
        <w:rPr>
          <w:rFonts w:ascii="Times New Roman" w:eastAsia="Times New Roman" w:hAnsi="Times New Roman" w:cs="Times New Roman"/>
          <w:kern w:val="0"/>
          <w:sz w:val="24"/>
          <w:szCs w:val="24"/>
          <w:lang w:eastAsia="es-ES"/>
          <w14:ligatures w14:val="none"/>
        </w:rPr>
        <w:t xml:space="preserve"> mice. The treatment was particularly efficacious in killing EGFP+ cells in the peritoneum, although we also saw a significant effect in the lungs (</w:t>
      </w:r>
      <w:hyperlink r:id="rId58" w:anchor="f3" w:history="1">
        <w:r w:rsidRPr="00A925E0">
          <w:rPr>
            <w:rFonts w:ascii="Times New Roman" w:eastAsia="Times New Roman" w:hAnsi="Times New Roman" w:cs="Times New Roman"/>
            <w:color w:val="0000FF"/>
            <w:kern w:val="0"/>
            <w:sz w:val="24"/>
            <w:szCs w:val="24"/>
            <w:u w:val="single"/>
            <w:lang w:eastAsia="es-ES"/>
            <w14:ligatures w14:val="none"/>
          </w:rPr>
          <w:t>Figure 3E</w:t>
        </w:r>
      </w:hyperlink>
      <w:r w:rsidRPr="00A925E0">
        <w:rPr>
          <w:rFonts w:ascii="Times New Roman" w:eastAsia="Times New Roman" w:hAnsi="Times New Roman" w:cs="Times New Roman"/>
          <w:kern w:val="0"/>
          <w:sz w:val="24"/>
          <w:szCs w:val="24"/>
          <w:lang w:eastAsia="es-ES"/>
          <w14:ligatures w14:val="none"/>
        </w:rPr>
        <w:t>). In contrast, this approach had no significant impact in reducing the percentage of EGFP expressing cells in the blood, thymus, spleen or lymph nodes (</w:t>
      </w:r>
      <w:hyperlink r:id="rId59" w:anchor="f3" w:history="1">
        <w:r w:rsidRPr="00A925E0">
          <w:rPr>
            <w:rFonts w:ascii="Times New Roman" w:eastAsia="Times New Roman" w:hAnsi="Times New Roman" w:cs="Times New Roman"/>
            <w:color w:val="0000FF"/>
            <w:kern w:val="0"/>
            <w:sz w:val="24"/>
            <w:szCs w:val="24"/>
            <w:u w:val="single"/>
            <w:lang w:eastAsia="es-ES"/>
            <w14:ligatures w14:val="none"/>
          </w:rPr>
          <w:t>Figure 3E</w:t>
        </w:r>
      </w:hyperlink>
      <w:r w:rsidRPr="00A925E0">
        <w:rPr>
          <w:rFonts w:ascii="Times New Roman" w:eastAsia="Times New Roman" w:hAnsi="Times New Roman" w:cs="Times New Roman"/>
          <w:kern w:val="0"/>
          <w:sz w:val="24"/>
          <w:szCs w:val="24"/>
          <w:lang w:eastAsia="es-ES"/>
          <w14:ligatures w14:val="none"/>
        </w:rPr>
        <w:t xml:space="preserve">). FACS analyses confirmed a very efficient depletion of EGFP expressing cells from the peritoneum of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and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AT/AT</w:t>
      </w:r>
      <w:r w:rsidRPr="00A925E0">
        <w:rPr>
          <w:rFonts w:ascii="Times New Roman" w:eastAsia="Times New Roman" w:hAnsi="Times New Roman" w:cs="Times New Roman"/>
          <w:kern w:val="0"/>
          <w:sz w:val="24"/>
          <w:szCs w:val="24"/>
          <w:lang w:eastAsia="es-ES"/>
          <w14:ligatures w14:val="none"/>
        </w:rPr>
        <w:t xml:space="preserve"> mice after treatment with AP20187 (</w:t>
      </w:r>
      <w:hyperlink r:id="rId60" w:anchor="f3" w:history="1">
        <w:r w:rsidRPr="00A925E0">
          <w:rPr>
            <w:rFonts w:ascii="Times New Roman" w:eastAsia="Times New Roman" w:hAnsi="Times New Roman" w:cs="Times New Roman"/>
            <w:color w:val="0000FF"/>
            <w:kern w:val="0"/>
            <w:sz w:val="24"/>
            <w:szCs w:val="24"/>
            <w:u w:val="single"/>
            <w:lang w:eastAsia="es-ES"/>
            <w14:ligatures w14:val="none"/>
          </w:rPr>
          <w:t>Figure 3F</w:t>
        </w:r>
      </w:hyperlink>
      <w:r w:rsidRPr="00A925E0">
        <w:rPr>
          <w:rFonts w:ascii="Times New Roman" w:eastAsia="Times New Roman" w:hAnsi="Times New Roman" w:cs="Times New Roman"/>
          <w:kern w:val="0"/>
          <w:sz w:val="24"/>
          <w:szCs w:val="24"/>
          <w:lang w:eastAsia="es-ES"/>
          <w14:ligatures w14:val="none"/>
        </w:rPr>
        <w:t>). We also evaluated if an intravenous (i.v.) administration of the drug could have more widespread effects. However, while i.v. delivery of AP20187 led to a significant depletion of EGFP+ cells in the blood and bone marrow, we failed to see significant effects on other tissues (</w:t>
      </w:r>
      <w:hyperlink r:id="rId61" w:anchor="SD2" w:history="1">
        <w:r w:rsidRPr="00A925E0">
          <w:rPr>
            <w:rFonts w:ascii="Times New Roman" w:eastAsia="Times New Roman" w:hAnsi="Times New Roman" w:cs="Times New Roman"/>
            <w:color w:val="0000FF"/>
            <w:kern w:val="0"/>
            <w:sz w:val="24"/>
            <w:szCs w:val="24"/>
            <w:u w:val="single"/>
            <w:lang w:eastAsia="es-ES"/>
            <w14:ligatures w14:val="none"/>
          </w:rPr>
          <w:t>Supplementary Figure 2B</w:t>
        </w:r>
      </w:hyperlink>
      <w:r w:rsidRPr="00A925E0">
        <w:rPr>
          <w:rFonts w:ascii="Times New Roman" w:eastAsia="Times New Roman" w:hAnsi="Times New Roman" w:cs="Times New Roman"/>
          <w:kern w:val="0"/>
          <w:sz w:val="24"/>
          <w:szCs w:val="24"/>
          <w:lang w:eastAsia="es-ES"/>
          <w14:ligatures w14:val="none"/>
        </w:rPr>
        <w:t>). On the basis of these results, we decided to focus in the adult peritoneum as a model where to study the impact of selectively targeting 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xml:space="preserve"> cells.</w:t>
      </w:r>
    </w:p>
    <w:p w14:paraId="0FEC13A5"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r w:rsidRPr="00A925E0">
        <w:rPr>
          <w:rFonts w:ascii="Times New Roman" w:eastAsia="Times New Roman" w:hAnsi="Times New Roman" w:cs="Times New Roman"/>
          <w:b/>
          <w:bCs/>
          <w:kern w:val="0"/>
          <w:sz w:val="27"/>
          <w:szCs w:val="27"/>
          <w:lang w:eastAsia="es-ES"/>
          <w14:ligatures w14:val="none"/>
        </w:rPr>
        <w:t>Depletion of PD-L1 expressing cells sensitizes mice to LPS</w:t>
      </w:r>
    </w:p>
    <w:p w14:paraId="6EBA4EA5"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Intraperitoneal injection of the bacterial lipopolysaccharide (LPS) is a widely used experimental model of a lethal septic shock associated to a cytokine storm [</w:t>
      </w:r>
      <w:hyperlink r:id="rId62" w:anchor="r16" w:history="1">
        <w:r w:rsidRPr="00A925E0">
          <w:rPr>
            <w:rFonts w:ascii="Times New Roman" w:eastAsia="Times New Roman" w:hAnsi="Times New Roman" w:cs="Times New Roman"/>
            <w:color w:val="0000FF"/>
            <w:kern w:val="0"/>
            <w:sz w:val="24"/>
            <w:szCs w:val="24"/>
            <w:u w:val="single"/>
            <w:lang w:eastAsia="es-ES"/>
            <w14:ligatures w14:val="none"/>
          </w:rPr>
          <w:t>16</w:t>
        </w:r>
      </w:hyperlink>
      <w:r w:rsidRPr="00A925E0">
        <w:rPr>
          <w:rFonts w:ascii="Times New Roman" w:eastAsia="Times New Roman" w:hAnsi="Times New Roman" w:cs="Times New Roman"/>
          <w:kern w:val="0"/>
          <w:sz w:val="24"/>
          <w:szCs w:val="24"/>
          <w:lang w:eastAsia="es-ES"/>
          <w14:ligatures w14:val="none"/>
        </w:rPr>
        <w:t xml:space="preserve">]. Strikingly, while i.p. injections of AP20187 for three days did not affect LPS-mortality in wild type mice, it led to a significant reduction of the survival of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animals (</w:t>
      </w:r>
      <w:hyperlink r:id="rId63" w:anchor="f4" w:history="1">
        <w:r w:rsidRPr="00A925E0">
          <w:rPr>
            <w:rFonts w:ascii="Times New Roman" w:eastAsia="Times New Roman" w:hAnsi="Times New Roman" w:cs="Times New Roman"/>
            <w:color w:val="0000FF"/>
            <w:kern w:val="0"/>
            <w:sz w:val="24"/>
            <w:szCs w:val="24"/>
            <w:u w:val="single"/>
            <w:lang w:eastAsia="es-ES"/>
            <w14:ligatures w14:val="none"/>
          </w:rPr>
          <w:t>Figure 4A</w:t>
        </w:r>
      </w:hyperlink>
      <w:r w:rsidRPr="00A925E0">
        <w:rPr>
          <w:rFonts w:ascii="Times New Roman" w:eastAsia="Times New Roman" w:hAnsi="Times New Roman" w:cs="Times New Roman"/>
          <w:kern w:val="0"/>
          <w:sz w:val="24"/>
          <w:szCs w:val="24"/>
          <w:lang w:eastAsia="es-ES"/>
          <w14:ligatures w14:val="none"/>
        </w:rPr>
        <w:t xml:space="preserve">, </w:t>
      </w:r>
      <w:hyperlink r:id="rId64" w:anchor="f4" w:history="1">
        <w:r w:rsidRPr="00A925E0">
          <w:rPr>
            <w:rFonts w:ascii="Times New Roman" w:eastAsia="Times New Roman" w:hAnsi="Times New Roman" w:cs="Times New Roman"/>
            <w:color w:val="0000FF"/>
            <w:kern w:val="0"/>
            <w:sz w:val="24"/>
            <w:szCs w:val="24"/>
            <w:u w:val="single"/>
            <w:lang w:eastAsia="es-ES"/>
            <w14:ligatures w14:val="none"/>
          </w:rPr>
          <w:t>4B</w:t>
        </w:r>
      </w:hyperlink>
      <w:r w:rsidRPr="00A925E0">
        <w:rPr>
          <w:rFonts w:ascii="Times New Roman" w:eastAsia="Times New Roman" w:hAnsi="Times New Roman" w:cs="Times New Roman"/>
          <w:kern w:val="0"/>
          <w:sz w:val="24"/>
          <w:szCs w:val="24"/>
          <w:lang w:eastAsia="es-ES"/>
          <w14:ligatures w14:val="none"/>
        </w:rPr>
        <w:t xml:space="preserve">). This effect was even more pronounced in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AT/AT</w:t>
      </w:r>
      <w:r w:rsidRPr="00A925E0">
        <w:rPr>
          <w:rFonts w:ascii="Times New Roman" w:eastAsia="Times New Roman" w:hAnsi="Times New Roman" w:cs="Times New Roman"/>
          <w:kern w:val="0"/>
          <w:sz w:val="24"/>
          <w:szCs w:val="24"/>
          <w:lang w:eastAsia="es-ES"/>
          <w14:ligatures w14:val="none"/>
        </w:rPr>
        <w:t xml:space="preserve"> mice with all animals dying by 18 hrs after LPS injection (with no wt animals being dead at this timepoint) (</w:t>
      </w:r>
      <w:hyperlink r:id="rId65" w:anchor="f4" w:history="1">
        <w:r w:rsidRPr="00A925E0">
          <w:rPr>
            <w:rFonts w:ascii="Times New Roman" w:eastAsia="Times New Roman" w:hAnsi="Times New Roman" w:cs="Times New Roman"/>
            <w:color w:val="0000FF"/>
            <w:kern w:val="0"/>
            <w:sz w:val="24"/>
            <w:szCs w:val="24"/>
            <w:u w:val="single"/>
            <w:lang w:eastAsia="es-ES"/>
            <w14:ligatures w14:val="none"/>
          </w:rPr>
          <w:t>Figure 4C</w:t>
        </w:r>
      </w:hyperlink>
      <w:r w:rsidRPr="00A925E0">
        <w:rPr>
          <w:rFonts w:ascii="Times New Roman" w:eastAsia="Times New Roman" w:hAnsi="Times New Roman" w:cs="Times New Roman"/>
          <w:kern w:val="0"/>
          <w:sz w:val="24"/>
          <w:szCs w:val="24"/>
          <w:lang w:eastAsia="es-ES"/>
          <w14:ligatures w14:val="none"/>
        </w:rPr>
        <w:t xml:space="preserve">). Consistent with survival data, treatment of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and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AT/AT</w:t>
      </w:r>
      <w:r w:rsidRPr="00A925E0">
        <w:rPr>
          <w:rFonts w:ascii="Times New Roman" w:eastAsia="Times New Roman" w:hAnsi="Times New Roman" w:cs="Times New Roman"/>
          <w:kern w:val="0"/>
          <w:sz w:val="24"/>
          <w:szCs w:val="24"/>
          <w:lang w:eastAsia="es-ES"/>
          <w14:ligatures w14:val="none"/>
        </w:rPr>
        <w:t xml:space="preserve"> mice with AP20187 triggered a higher accumulation of the inflammatory cytokine IL-6 in the plasma of LPS-injected mice, confirming the increased severity of the septic shock (</w:t>
      </w:r>
      <w:hyperlink r:id="rId66" w:anchor="SD2" w:history="1">
        <w:r w:rsidRPr="00A925E0">
          <w:rPr>
            <w:rFonts w:ascii="Times New Roman" w:eastAsia="Times New Roman" w:hAnsi="Times New Roman" w:cs="Times New Roman"/>
            <w:color w:val="0000FF"/>
            <w:kern w:val="0"/>
            <w:sz w:val="24"/>
            <w:szCs w:val="24"/>
            <w:u w:val="single"/>
            <w:lang w:eastAsia="es-ES"/>
            <w14:ligatures w14:val="none"/>
          </w:rPr>
          <w:t>Supplementary Figure 3A</w:t>
        </w:r>
      </w:hyperlink>
      <w:r w:rsidRPr="00A925E0">
        <w:rPr>
          <w:rFonts w:ascii="Times New Roman" w:eastAsia="Times New Roman" w:hAnsi="Times New Roman" w:cs="Times New Roman"/>
          <w:kern w:val="0"/>
          <w:sz w:val="24"/>
          <w:szCs w:val="24"/>
          <w:lang w:eastAsia="es-ES"/>
          <w14:ligatures w14:val="none"/>
        </w:rPr>
        <w:t>–</w:t>
      </w:r>
      <w:hyperlink r:id="rId67" w:anchor="SD2" w:history="1">
        <w:r w:rsidRPr="00A925E0">
          <w:rPr>
            <w:rFonts w:ascii="Times New Roman" w:eastAsia="Times New Roman" w:hAnsi="Times New Roman" w:cs="Times New Roman"/>
            <w:color w:val="0000FF"/>
            <w:kern w:val="0"/>
            <w:sz w:val="24"/>
            <w:szCs w:val="24"/>
            <w:u w:val="single"/>
            <w:lang w:eastAsia="es-ES"/>
            <w14:ligatures w14:val="none"/>
          </w:rPr>
          <w:t>3C</w:t>
        </w:r>
      </w:hyperlink>
      <w:r w:rsidRPr="00A925E0">
        <w:rPr>
          <w:rFonts w:ascii="Times New Roman" w:eastAsia="Times New Roman" w:hAnsi="Times New Roman" w:cs="Times New Roman"/>
          <w:kern w:val="0"/>
          <w:sz w:val="24"/>
          <w:szCs w:val="24"/>
          <w:lang w:eastAsia="es-ES"/>
          <w14:ligatures w14:val="none"/>
        </w:rPr>
        <w:t xml:space="preserve">). Moreover, immunohistochemistry (IHC) analyses revealed a clear accumulation of immune infiltrates in the lungs or livers from AP20187-treated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and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AT/AT</w:t>
      </w:r>
      <w:r w:rsidRPr="00A925E0">
        <w:rPr>
          <w:rFonts w:ascii="Times New Roman" w:eastAsia="Times New Roman" w:hAnsi="Times New Roman" w:cs="Times New Roman"/>
          <w:kern w:val="0"/>
          <w:sz w:val="24"/>
          <w:szCs w:val="24"/>
          <w:lang w:eastAsia="es-ES"/>
          <w14:ligatures w14:val="none"/>
        </w:rPr>
        <w:t xml:space="preserve"> mice exposed to LPS (</w:t>
      </w:r>
      <w:hyperlink r:id="rId68" w:anchor="f4" w:history="1">
        <w:r w:rsidRPr="00A925E0">
          <w:rPr>
            <w:rFonts w:ascii="Times New Roman" w:eastAsia="Times New Roman" w:hAnsi="Times New Roman" w:cs="Times New Roman"/>
            <w:color w:val="0000FF"/>
            <w:kern w:val="0"/>
            <w:sz w:val="24"/>
            <w:szCs w:val="24"/>
            <w:u w:val="single"/>
            <w:lang w:eastAsia="es-ES"/>
            <w14:ligatures w14:val="none"/>
          </w:rPr>
          <w:t>Figure 4D</w:t>
        </w:r>
      </w:hyperlink>
      <w:r w:rsidRPr="00A925E0">
        <w:rPr>
          <w:rFonts w:ascii="Times New Roman" w:eastAsia="Times New Roman" w:hAnsi="Times New Roman" w:cs="Times New Roman"/>
          <w:kern w:val="0"/>
          <w:sz w:val="24"/>
          <w:szCs w:val="24"/>
          <w:lang w:eastAsia="es-ES"/>
          <w14:ligatures w14:val="none"/>
        </w:rPr>
        <w:t xml:space="preserve"> and </w:t>
      </w:r>
      <w:hyperlink r:id="rId69" w:anchor="SD2" w:history="1">
        <w:r w:rsidRPr="00A925E0">
          <w:rPr>
            <w:rFonts w:ascii="Times New Roman" w:eastAsia="Times New Roman" w:hAnsi="Times New Roman" w:cs="Times New Roman"/>
            <w:color w:val="0000FF"/>
            <w:kern w:val="0"/>
            <w:sz w:val="24"/>
            <w:szCs w:val="24"/>
            <w:u w:val="single"/>
            <w:lang w:eastAsia="es-ES"/>
            <w14:ligatures w14:val="none"/>
          </w:rPr>
          <w:t>Supplementary Figure 3D</w:t>
        </w:r>
      </w:hyperlink>
      <w:r w:rsidRPr="00A925E0">
        <w:rPr>
          <w:rFonts w:ascii="Times New Roman" w:eastAsia="Times New Roman" w:hAnsi="Times New Roman" w:cs="Times New Roman"/>
          <w:kern w:val="0"/>
          <w:sz w:val="24"/>
          <w:szCs w:val="24"/>
          <w:lang w:eastAsia="es-ES"/>
          <w14:ligatures w14:val="none"/>
        </w:rPr>
        <w:t>). Together, these data illustrate that the selective elimination of 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xml:space="preserve"> cells increases the severity of immune responses in the mouse peritoneum.</w:t>
      </w:r>
    </w:p>
    <w:p w14:paraId="7C68087F" w14:textId="77777777" w:rsidR="00A925E0" w:rsidRPr="00A925E0" w:rsidRDefault="00A925E0" w:rsidP="00A925E0">
      <w:pPr>
        <w:spacing w:after="0"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noProof/>
          <w:color w:val="0000FF"/>
          <w:kern w:val="0"/>
          <w:sz w:val="24"/>
          <w:szCs w:val="24"/>
          <w:lang w:eastAsia="es-ES"/>
          <w14:ligatures w14:val="none"/>
        </w:rPr>
        <w:lastRenderedPageBreak/>
        <w:drawing>
          <wp:inline distT="0" distB="0" distL="0" distR="0" wp14:anchorId="48C6902B" wp14:editId="0495A907">
            <wp:extent cx="9715500" cy="9563100"/>
            <wp:effectExtent l="0" t="0" r="0" b="0"/>
            <wp:docPr id="4" name="Imagen 2" descr="Effects of depleting PD-L1-expressing cells in a model of LPS-induced septicaemia. (A–C) Kaplan-Meier survival curves of PD-L1+/+, PD-L1AT/+ and PD-L1AT/AT mice after LPS injection. Mice were treated via i.p. with AP20187 (2.5 mg/kg) for 3 days and subsequently injected i.p. with 10 mg/kg LPS. The p value was calculated with the Mantel-Cox log rank test. *p ***p D) Hematoxylin/eosin IHC in the lungs from the experiment defined in (A–C). Note the further accumulation of infiltrates in the lungs of AP20187-treated PD-L1AT/+ and PD-L1AT/AT mice after LPS injection. Scale bar (black) indicates 75 μm. (E) Single-cell sequencing analysis of the impact of AP20187 treatment (2.5 mg/kg, 3 days) on the repertoire of peritoneal cells from PD-L1AT/+ mice. Panels show UMAP plots from these analyses are shown and the cell types showing alterations are indicated by arrows. (F) GSEA analysis showing the hallmarks that were most significantly upregulated in cluster 9 (cytotoxic CD8/NK cells) after AP20187 treatment from the experiment defined in (E).">
              <a:hlinkClick xmlns:a="http://schemas.openxmlformats.org/drawingml/2006/main" r:id="rId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ffects of depleting PD-L1-expressing cells in a model of LPS-induced septicaemia. (A–C) Kaplan-Meier survival curves of PD-L1+/+, PD-L1AT/+ and PD-L1AT/AT mice after LPS injection. Mice were treated via i.p. with AP20187 (2.5 mg/kg) for 3 days and subsequently injected i.p. with 10 mg/kg LPS. The p value was calculated with the Mantel-Cox log rank test. *p ***p D) Hematoxylin/eosin IHC in the lungs from the experiment defined in (A–C). Note the further accumulation of infiltrates in the lungs of AP20187-treated PD-L1AT/+ and PD-L1AT/AT mice after LPS injection. Scale bar (black) indicates 75 μm. (E) Single-cell sequencing analysis of the impact of AP20187 treatment (2.5 mg/kg, 3 days) on the repertoire of peritoneal cells from PD-L1AT/+ mice. Panels show UMAP plots from these analyses are shown and the cell types showing alterations are indicated by arrows. (F) GSEA analysis showing the hallmarks that were most significantly upregulated in cluster 9 (cytotoxic CD8/NK cells) after AP20187 treatment from the experiment defined in (E).">
                      <a:hlinkClick r:id="rId70"/>
                    </pic:cNvPr>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9715500" cy="9563100"/>
                    </a:xfrm>
                    <a:prstGeom prst="rect">
                      <a:avLst/>
                    </a:prstGeom>
                    <a:noFill/>
                    <a:ln>
                      <a:noFill/>
                    </a:ln>
                  </pic:spPr>
                </pic:pic>
              </a:graphicData>
            </a:graphic>
          </wp:inline>
        </w:drawing>
      </w:r>
    </w:p>
    <w:p w14:paraId="3E1AFA61"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lastRenderedPageBreak/>
        <w:t>Figure 4.</w:t>
      </w:r>
      <w:r w:rsidRPr="00A925E0">
        <w:rPr>
          <w:rFonts w:ascii="Times New Roman" w:eastAsia="Times New Roman" w:hAnsi="Times New Roman" w:cs="Times New Roman"/>
          <w:kern w:val="0"/>
          <w:sz w:val="24"/>
          <w:szCs w:val="24"/>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Effects of depleting PD-L1-expressing cells in a model of LPS-induced septicaemia.</w:t>
      </w:r>
      <w:r w:rsidRPr="00A925E0">
        <w:rPr>
          <w:rFonts w:ascii="Times New Roman" w:eastAsia="Times New Roman" w:hAnsi="Times New Roman" w:cs="Times New Roman"/>
          <w:kern w:val="0"/>
          <w:sz w:val="24"/>
          <w:szCs w:val="24"/>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A</w:t>
      </w:r>
      <w:r w:rsidRPr="00A925E0">
        <w:rPr>
          <w:rFonts w:ascii="Times New Roman" w:eastAsia="Times New Roman" w:hAnsi="Times New Roman" w:cs="Times New Roman"/>
          <w:kern w:val="0"/>
          <w:sz w:val="24"/>
          <w:szCs w:val="24"/>
          <w:lang w:eastAsia="es-ES"/>
          <w14:ligatures w14:val="none"/>
        </w:rPr>
        <w:t>–</w:t>
      </w:r>
      <w:r w:rsidRPr="00A925E0">
        <w:rPr>
          <w:rFonts w:ascii="Times New Roman" w:eastAsia="Times New Roman" w:hAnsi="Times New Roman" w:cs="Times New Roman"/>
          <w:b/>
          <w:bCs/>
          <w:kern w:val="0"/>
          <w:sz w:val="24"/>
          <w:szCs w:val="24"/>
          <w:lang w:eastAsia="es-ES"/>
          <w14:ligatures w14:val="none"/>
        </w:rPr>
        <w:t>C</w:t>
      </w:r>
      <w:r w:rsidRPr="00A925E0">
        <w:rPr>
          <w:rFonts w:ascii="Times New Roman" w:eastAsia="Times New Roman" w:hAnsi="Times New Roman" w:cs="Times New Roman"/>
          <w:kern w:val="0"/>
          <w:sz w:val="24"/>
          <w:szCs w:val="24"/>
          <w:lang w:eastAsia="es-ES"/>
          <w14:ligatures w14:val="none"/>
        </w:rPr>
        <w:t xml:space="preserve">) Kaplan-Meier survival curves of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i/>
          <w:iCs/>
          <w:kern w:val="0"/>
          <w:sz w:val="24"/>
          <w:szCs w:val="24"/>
          <w:lang w:eastAsia="es-ES"/>
          <w14:ligatures w14:val="none"/>
        </w:rPr>
        <w:t>, PD-L1</w:t>
      </w:r>
      <w:r w:rsidRPr="00A925E0">
        <w:rPr>
          <w:rFonts w:ascii="Times New Roman" w:eastAsia="Times New Roman" w:hAnsi="Times New Roman" w:cs="Times New Roman"/>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and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kern w:val="0"/>
          <w:sz w:val="24"/>
          <w:szCs w:val="24"/>
          <w:vertAlign w:val="superscript"/>
          <w:lang w:eastAsia="es-ES"/>
          <w14:ligatures w14:val="none"/>
        </w:rPr>
        <w:t>AT/AT</w:t>
      </w:r>
      <w:r w:rsidRPr="00A925E0">
        <w:rPr>
          <w:rFonts w:ascii="Times New Roman" w:eastAsia="Times New Roman" w:hAnsi="Times New Roman" w:cs="Times New Roman"/>
          <w:kern w:val="0"/>
          <w:sz w:val="24"/>
          <w:szCs w:val="24"/>
          <w:lang w:eastAsia="es-ES"/>
          <w14:ligatures w14:val="none"/>
        </w:rPr>
        <w:t xml:space="preserve"> mice after LPS injection. Mice were treated via i.p. with AP20187 (2.5 mg/kg) for 3 days and subsequently injected i.p. with 10 mg/kg LPS. The </w:t>
      </w:r>
      <w:r w:rsidRPr="00A925E0">
        <w:rPr>
          <w:rFonts w:ascii="Times New Roman" w:eastAsia="Times New Roman" w:hAnsi="Times New Roman" w:cs="Times New Roman"/>
          <w:i/>
          <w:iCs/>
          <w:kern w:val="0"/>
          <w:sz w:val="24"/>
          <w:szCs w:val="24"/>
          <w:lang w:eastAsia="es-ES"/>
          <w14:ligatures w14:val="none"/>
        </w:rPr>
        <w:t>p</w:t>
      </w:r>
      <w:r w:rsidRPr="00A925E0">
        <w:rPr>
          <w:rFonts w:ascii="Times New Roman" w:eastAsia="Times New Roman" w:hAnsi="Times New Roman" w:cs="Times New Roman"/>
          <w:kern w:val="0"/>
          <w:sz w:val="24"/>
          <w:szCs w:val="24"/>
          <w:lang w:eastAsia="es-ES"/>
          <w14:ligatures w14:val="none"/>
        </w:rPr>
        <w:t xml:space="preserve"> value was calculated with the Mantel-Cox log rank test. </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i/>
          <w:iCs/>
          <w:kern w:val="0"/>
          <w:sz w:val="24"/>
          <w:szCs w:val="24"/>
          <w:lang w:eastAsia="es-ES"/>
          <w14:ligatures w14:val="none"/>
        </w:rPr>
        <w:t>p</w:t>
      </w:r>
      <w:r w:rsidRPr="00A925E0">
        <w:rPr>
          <w:rFonts w:ascii="Times New Roman" w:eastAsia="Times New Roman" w:hAnsi="Times New Roman" w:cs="Times New Roman"/>
          <w:kern w:val="0"/>
          <w:sz w:val="24"/>
          <w:szCs w:val="24"/>
          <w:lang w:eastAsia="es-ES"/>
          <w14:ligatures w14:val="none"/>
        </w:rPr>
        <w:t xml:space="preserve"> &lt; 0.05 </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i/>
          <w:iCs/>
          <w:kern w:val="0"/>
          <w:sz w:val="24"/>
          <w:szCs w:val="24"/>
          <w:lang w:eastAsia="es-ES"/>
          <w14:ligatures w14:val="none"/>
        </w:rPr>
        <w:t>p</w:t>
      </w:r>
      <w:r w:rsidRPr="00A925E0">
        <w:rPr>
          <w:rFonts w:ascii="Times New Roman" w:eastAsia="Times New Roman" w:hAnsi="Times New Roman" w:cs="Times New Roman"/>
          <w:kern w:val="0"/>
          <w:sz w:val="24"/>
          <w:szCs w:val="24"/>
          <w:lang w:eastAsia="es-ES"/>
          <w14:ligatures w14:val="none"/>
        </w:rPr>
        <w:t xml:space="preserve"> &lt; 0.001. (</w:t>
      </w:r>
      <w:r w:rsidRPr="00A925E0">
        <w:rPr>
          <w:rFonts w:ascii="Times New Roman" w:eastAsia="Times New Roman" w:hAnsi="Times New Roman" w:cs="Times New Roman"/>
          <w:b/>
          <w:bCs/>
          <w:kern w:val="0"/>
          <w:sz w:val="24"/>
          <w:szCs w:val="24"/>
          <w:lang w:eastAsia="es-ES"/>
          <w14:ligatures w14:val="none"/>
        </w:rPr>
        <w:t>D</w:t>
      </w:r>
      <w:r w:rsidRPr="00A925E0">
        <w:rPr>
          <w:rFonts w:ascii="Times New Roman" w:eastAsia="Times New Roman" w:hAnsi="Times New Roman" w:cs="Times New Roman"/>
          <w:kern w:val="0"/>
          <w:sz w:val="24"/>
          <w:szCs w:val="24"/>
          <w:lang w:eastAsia="es-ES"/>
          <w14:ligatures w14:val="none"/>
        </w:rPr>
        <w:t>) Hematoxylin/eosin IHC in the lungs from the experiment defined in (</w:t>
      </w:r>
      <w:r w:rsidRPr="00A925E0">
        <w:rPr>
          <w:rFonts w:ascii="Times New Roman" w:eastAsia="Times New Roman" w:hAnsi="Times New Roman" w:cs="Times New Roman"/>
          <w:b/>
          <w:bCs/>
          <w:kern w:val="0"/>
          <w:sz w:val="24"/>
          <w:szCs w:val="24"/>
          <w:lang w:eastAsia="es-ES"/>
          <w14:ligatures w14:val="none"/>
        </w:rPr>
        <w:t>A</w:t>
      </w:r>
      <w:r w:rsidRPr="00A925E0">
        <w:rPr>
          <w:rFonts w:ascii="Times New Roman" w:eastAsia="Times New Roman" w:hAnsi="Times New Roman" w:cs="Times New Roman"/>
          <w:kern w:val="0"/>
          <w:sz w:val="24"/>
          <w:szCs w:val="24"/>
          <w:lang w:eastAsia="es-ES"/>
          <w14:ligatures w14:val="none"/>
        </w:rPr>
        <w:t>–</w:t>
      </w:r>
      <w:r w:rsidRPr="00A925E0">
        <w:rPr>
          <w:rFonts w:ascii="Times New Roman" w:eastAsia="Times New Roman" w:hAnsi="Times New Roman" w:cs="Times New Roman"/>
          <w:b/>
          <w:bCs/>
          <w:kern w:val="0"/>
          <w:sz w:val="24"/>
          <w:szCs w:val="24"/>
          <w:lang w:eastAsia="es-ES"/>
          <w14:ligatures w14:val="none"/>
        </w:rPr>
        <w:t>C</w:t>
      </w:r>
      <w:r w:rsidRPr="00A925E0">
        <w:rPr>
          <w:rFonts w:ascii="Times New Roman" w:eastAsia="Times New Roman" w:hAnsi="Times New Roman" w:cs="Times New Roman"/>
          <w:kern w:val="0"/>
          <w:sz w:val="24"/>
          <w:szCs w:val="24"/>
          <w:lang w:eastAsia="es-ES"/>
          <w14:ligatures w14:val="none"/>
        </w:rPr>
        <w:t xml:space="preserve">). Note the further accumulation of infiltrates in the lungs of AP20187-treated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and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kern w:val="0"/>
          <w:sz w:val="24"/>
          <w:szCs w:val="24"/>
          <w:vertAlign w:val="superscript"/>
          <w:lang w:eastAsia="es-ES"/>
          <w14:ligatures w14:val="none"/>
        </w:rPr>
        <w:t>AT/AT</w:t>
      </w:r>
      <w:r w:rsidRPr="00A925E0">
        <w:rPr>
          <w:rFonts w:ascii="Times New Roman" w:eastAsia="Times New Roman" w:hAnsi="Times New Roman" w:cs="Times New Roman"/>
          <w:kern w:val="0"/>
          <w:sz w:val="24"/>
          <w:szCs w:val="24"/>
          <w:lang w:eastAsia="es-ES"/>
          <w14:ligatures w14:val="none"/>
        </w:rPr>
        <w:t xml:space="preserve"> mice after LPS injection. Scale bar (black) indicates 75 μm. (</w:t>
      </w:r>
      <w:r w:rsidRPr="00A925E0">
        <w:rPr>
          <w:rFonts w:ascii="Times New Roman" w:eastAsia="Times New Roman" w:hAnsi="Times New Roman" w:cs="Times New Roman"/>
          <w:b/>
          <w:bCs/>
          <w:kern w:val="0"/>
          <w:sz w:val="24"/>
          <w:szCs w:val="24"/>
          <w:lang w:eastAsia="es-ES"/>
          <w14:ligatures w14:val="none"/>
        </w:rPr>
        <w:t>E</w:t>
      </w:r>
      <w:r w:rsidRPr="00A925E0">
        <w:rPr>
          <w:rFonts w:ascii="Times New Roman" w:eastAsia="Times New Roman" w:hAnsi="Times New Roman" w:cs="Times New Roman"/>
          <w:kern w:val="0"/>
          <w:sz w:val="24"/>
          <w:szCs w:val="24"/>
          <w:lang w:eastAsia="es-ES"/>
          <w14:ligatures w14:val="none"/>
        </w:rPr>
        <w:t xml:space="preserve">) Single-cell sequencing analysis of the impact of AP20187 treatment (2.5 mg/kg, 3 days) on the repertoire of peritoneal cells from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mice. Panels show UMAP plots from these analyses are shown and the cell types showing alterations are indicated by arrows. (</w:t>
      </w:r>
      <w:r w:rsidRPr="00A925E0">
        <w:rPr>
          <w:rFonts w:ascii="Times New Roman" w:eastAsia="Times New Roman" w:hAnsi="Times New Roman" w:cs="Times New Roman"/>
          <w:b/>
          <w:bCs/>
          <w:kern w:val="0"/>
          <w:sz w:val="24"/>
          <w:szCs w:val="24"/>
          <w:lang w:eastAsia="es-ES"/>
          <w14:ligatures w14:val="none"/>
        </w:rPr>
        <w:t>F</w:t>
      </w:r>
      <w:r w:rsidRPr="00A925E0">
        <w:rPr>
          <w:rFonts w:ascii="Times New Roman" w:eastAsia="Times New Roman" w:hAnsi="Times New Roman" w:cs="Times New Roman"/>
          <w:kern w:val="0"/>
          <w:sz w:val="24"/>
          <w:szCs w:val="24"/>
          <w:lang w:eastAsia="es-ES"/>
          <w14:ligatures w14:val="none"/>
        </w:rPr>
        <w:t>) GSEA analysis showing the hallmarks that were most significantly upregulated in cluster 9 (cytotoxic CD8/NK cells) after AP20187 treatment from the experiment defined in (</w:t>
      </w:r>
      <w:r w:rsidRPr="00A925E0">
        <w:rPr>
          <w:rFonts w:ascii="Times New Roman" w:eastAsia="Times New Roman" w:hAnsi="Times New Roman" w:cs="Times New Roman"/>
          <w:b/>
          <w:bCs/>
          <w:kern w:val="0"/>
          <w:sz w:val="24"/>
          <w:szCs w:val="24"/>
          <w:lang w:eastAsia="es-ES"/>
          <w14:ligatures w14:val="none"/>
        </w:rPr>
        <w:t>E</w:t>
      </w:r>
      <w:r w:rsidRPr="00A925E0">
        <w:rPr>
          <w:rFonts w:ascii="Times New Roman" w:eastAsia="Times New Roman" w:hAnsi="Times New Roman" w:cs="Times New Roman"/>
          <w:kern w:val="0"/>
          <w:sz w:val="24"/>
          <w:szCs w:val="24"/>
          <w:lang w:eastAsia="es-ES"/>
          <w14:ligatures w14:val="none"/>
        </w:rPr>
        <w:t>).</w:t>
      </w:r>
    </w:p>
    <w:p w14:paraId="2C043A06"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To determine which changes in cell types were responsible for the observed effects, we conducted single cell RNA sequencing analyses of intraperitoneal cells from untreated or AP20187-treated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mice. These analyses revealed a drug-induced depletion of B cells and macrophages, concomitant to an accumulation of neutrophils and cytotoxic CD8/NK cells (</w:t>
      </w:r>
      <w:hyperlink r:id="rId72" w:anchor="f4" w:history="1">
        <w:r w:rsidRPr="00A925E0">
          <w:rPr>
            <w:rFonts w:ascii="Times New Roman" w:eastAsia="Times New Roman" w:hAnsi="Times New Roman" w:cs="Times New Roman"/>
            <w:color w:val="0000FF"/>
            <w:kern w:val="0"/>
            <w:sz w:val="24"/>
            <w:szCs w:val="24"/>
            <w:u w:val="single"/>
            <w:lang w:eastAsia="es-ES"/>
            <w14:ligatures w14:val="none"/>
          </w:rPr>
          <w:t>Figure 4E</w:t>
        </w:r>
      </w:hyperlink>
      <w:r w:rsidRPr="00A925E0">
        <w:rPr>
          <w:rFonts w:ascii="Times New Roman" w:eastAsia="Times New Roman" w:hAnsi="Times New Roman" w:cs="Times New Roman"/>
          <w:kern w:val="0"/>
          <w:sz w:val="24"/>
          <w:szCs w:val="24"/>
          <w:lang w:eastAsia="es-ES"/>
          <w14:ligatures w14:val="none"/>
        </w:rPr>
        <w:t xml:space="preserve"> and </w:t>
      </w:r>
      <w:hyperlink r:id="rId73" w:anchor="SD2" w:history="1">
        <w:r w:rsidRPr="00A925E0">
          <w:rPr>
            <w:rFonts w:ascii="Times New Roman" w:eastAsia="Times New Roman" w:hAnsi="Times New Roman" w:cs="Times New Roman"/>
            <w:color w:val="0000FF"/>
            <w:kern w:val="0"/>
            <w:sz w:val="24"/>
            <w:szCs w:val="24"/>
            <w:u w:val="single"/>
            <w:lang w:eastAsia="es-ES"/>
            <w14:ligatures w14:val="none"/>
          </w:rPr>
          <w:t>Supplementary Figure 3E</w:t>
        </w:r>
      </w:hyperlink>
      <w:r w:rsidRPr="00A925E0">
        <w:rPr>
          <w:rFonts w:ascii="Times New Roman" w:eastAsia="Times New Roman" w:hAnsi="Times New Roman" w:cs="Times New Roman"/>
          <w:kern w:val="0"/>
          <w:sz w:val="24"/>
          <w:szCs w:val="24"/>
          <w:lang w:eastAsia="es-ES"/>
          <w14:ligatures w14:val="none"/>
        </w:rPr>
        <w:t xml:space="preserve">). Moreover, Gene Set Enrichment Analyses (GSEA) indicate that CD8 cells from AP20187-treated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mice were hyperactivated, as revealed by the significant activation of several pathways such as those related to TNFα, IFNγ or IL-6 signaling, as well as a general activation of the inflammatory response (</w:t>
      </w:r>
      <w:hyperlink r:id="rId74" w:anchor="f4" w:history="1">
        <w:r w:rsidRPr="00A925E0">
          <w:rPr>
            <w:rFonts w:ascii="Times New Roman" w:eastAsia="Times New Roman" w:hAnsi="Times New Roman" w:cs="Times New Roman"/>
            <w:color w:val="0000FF"/>
            <w:kern w:val="0"/>
            <w:sz w:val="24"/>
            <w:szCs w:val="24"/>
            <w:u w:val="single"/>
            <w:lang w:eastAsia="es-ES"/>
            <w14:ligatures w14:val="none"/>
          </w:rPr>
          <w:t>Figure 4F</w:t>
        </w:r>
      </w:hyperlink>
      <w:r w:rsidRPr="00A925E0">
        <w:rPr>
          <w:rFonts w:ascii="Times New Roman" w:eastAsia="Times New Roman" w:hAnsi="Times New Roman" w:cs="Times New Roman"/>
          <w:kern w:val="0"/>
          <w:sz w:val="24"/>
          <w:szCs w:val="24"/>
          <w:lang w:eastAsia="es-ES"/>
          <w14:ligatures w14:val="none"/>
        </w:rPr>
        <w:t xml:space="preserve"> and </w:t>
      </w:r>
      <w:hyperlink r:id="rId75" w:anchor="SD2" w:history="1">
        <w:r w:rsidRPr="00A925E0">
          <w:rPr>
            <w:rFonts w:ascii="Times New Roman" w:eastAsia="Times New Roman" w:hAnsi="Times New Roman" w:cs="Times New Roman"/>
            <w:color w:val="0000FF"/>
            <w:kern w:val="0"/>
            <w:sz w:val="24"/>
            <w:szCs w:val="24"/>
            <w:u w:val="single"/>
            <w:lang w:eastAsia="es-ES"/>
            <w14:ligatures w14:val="none"/>
          </w:rPr>
          <w:t>Supplementary Figure 3F</w:t>
        </w:r>
      </w:hyperlink>
      <w:r w:rsidRPr="00A925E0">
        <w:rPr>
          <w:rFonts w:ascii="Times New Roman" w:eastAsia="Times New Roman" w:hAnsi="Times New Roman" w:cs="Times New Roman"/>
          <w:kern w:val="0"/>
          <w:sz w:val="24"/>
          <w:szCs w:val="24"/>
          <w:lang w:eastAsia="es-ES"/>
          <w14:ligatures w14:val="none"/>
        </w:rPr>
        <w:t xml:space="preserve">, </w:t>
      </w:r>
      <w:hyperlink r:id="rId76" w:anchor="SD2" w:history="1">
        <w:r w:rsidRPr="00A925E0">
          <w:rPr>
            <w:rFonts w:ascii="Times New Roman" w:eastAsia="Times New Roman" w:hAnsi="Times New Roman" w:cs="Times New Roman"/>
            <w:color w:val="0000FF"/>
            <w:kern w:val="0"/>
            <w:sz w:val="24"/>
            <w:szCs w:val="24"/>
            <w:u w:val="single"/>
            <w:lang w:eastAsia="es-ES"/>
            <w14:ligatures w14:val="none"/>
          </w:rPr>
          <w:t>3G</w:t>
        </w:r>
      </w:hyperlink>
      <w:r w:rsidRPr="00A925E0">
        <w:rPr>
          <w:rFonts w:ascii="Times New Roman" w:eastAsia="Times New Roman" w:hAnsi="Times New Roman" w:cs="Times New Roman"/>
          <w:kern w:val="0"/>
          <w:sz w:val="24"/>
          <w:szCs w:val="24"/>
          <w:lang w:eastAsia="es-ES"/>
          <w14:ligatures w14:val="none"/>
        </w:rPr>
        <w:t>). Hence, depletion of 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xml:space="preserve"> cells alters the intraperitoneal immune repertoire which includes the accumulation of activated cytotoxic CD8 cells.</w:t>
      </w:r>
    </w:p>
    <w:p w14:paraId="3932C967"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r w:rsidRPr="00A925E0">
        <w:rPr>
          <w:rFonts w:ascii="Times New Roman" w:eastAsia="Times New Roman" w:hAnsi="Times New Roman" w:cs="Times New Roman"/>
          <w:b/>
          <w:bCs/>
          <w:kern w:val="0"/>
          <w:sz w:val="27"/>
          <w:szCs w:val="27"/>
          <w:lang w:eastAsia="es-ES"/>
          <w14:ligatures w14:val="none"/>
        </w:rPr>
        <w:t>Depletion of PD-L1</w:t>
      </w:r>
      <w:r w:rsidRPr="00A925E0">
        <w:rPr>
          <w:rFonts w:ascii="Times New Roman" w:eastAsia="Times New Roman" w:hAnsi="Times New Roman" w:cs="Times New Roman"/>
          <w:b/>
          <w:bCs/>
          <w:kern w:val="0"/>
          <w:sz w:val="27"/>
          <w:szCs w:val="27"/>
          <w:vertAlign w:val="superscript"/>
          <w:lang w:eastAsia="es-ES"/>
          <w14:ligatures w14:val="none"/>
        </w:rPr>
        <w:t>+</w:t>
      </w:r>
      <w:r w:rsidRPr="00A925E0">
        <w:rPr>
          <w:rFonts w:ascii="Times New Roman" w:eastAsia="Times New Roman" w:hAnsi="Times New Roman" w:cs="Times New Roman"/>
          <w:b/>
          <w:bCs/>
          <w:kern w:val="0"/>
          <w:sz w:val="27"/>
          <w:szCs w:val="27"/>
          <w:lang w:eastAsia="es-ES"/>
          <w14:ligatures w14:val="none"/>
        </w:rPr>
        <w:t xml:space="preserve"> cells increases survival to peritoneal tumor allografts</w:t>
      </w:r>
    </w:p>
    <w:p w14:paraId="6C654A5C"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Finally, and given that cytotoxic T cells are thought to be the main effectors in the context of anti-PD-L1 immunotherapies [</w:t>
      </w:r>
      <w:hyperlink r:id="rId77" w:anchor="r17" w:history="1">
        <w:r w:rsidRPr="00A925E0">
          <w:rPr>
            <w:rFonts w:ascii="Times New Roman" w:eastAsia="Times New Roman" w:hAnsi="Times New Roman" w:cs="Times New Roman"/>
            <w:color w:val="0000FF"/>
            <w:kern w:val="0"/>
            <w:sz w:val="24"/>
            <w:szCs w:val="24"/>
            <w:u w:val="single"/>
            <w:lang w:eastAsia="es-ES"/>
            <w14:ligatures w14:val="none"/>
          </w:rPr>
          <w:t>17</w:t>
        </w:r>
      </w:hyperlink>
      <w:r w:rsidRPr="00A925E0">
        <w:rPr>
          <w:rFonts w:ascii="Times New Roman" w:eastAsia="Times New Roman" w:hAnsi="Times New Roman" w:cs="Times New Roman"/>
          <w:kern w:val="0"/>
          <w:sz w:val="24"/>
          <w:szCs w:val="24"/>
          <w:lang w:eastAsia="es-ES"/>
          <w14:ligatures w14:val="none"/>
        </w:rPr>
        <w:t>], we tested the impact of depleting 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xml:space="preserve"> cells in of cancer. To this end, we used a model of intraperitoneal metastasis by the highly immunogenic colon adenocarcinoma cell line MC-38, which can be used for allografts in immunocompetent mice and is sensitive to anti-PD-L1 therapies [</w:t>
      </w:r>
      <w:hyperlink r:id="rId78" w:anchor="r18" w:history="1">
        <w:r w:rsidRPr="00A925E0">
          <w:rPr>
            <w:rFonts w:ascii="Times New Roman" w:eastAsia="Times New Roman" w:hAnsi="Times New Roman" w:cs="Times New Roman"/>
            <w:color w:val="0000FF"/>
            <w:kern w:val="0"/>
            <w:sz w:val="24"/>
            <w:szCs w:val="24"/>
            <w:u w:val="single"/>
            <w:lang w:eastAsia="es-ES"/>
            <w14:ligatures w14:val="none"/>
          </w:rPr>
          <w:t>18</w:t>
        </w:r>
      </w:hyperlink>
      <w:r w:rsidRPr="00A925E0">
        <w:rPr>
          <w:rFonts w:ascii="Times New Roman" w:eastAsia="Times New Roman" w:hAnsi="Times New Roman" w:cs="Times New Roman"/>
          <w:kern w:val="0"/>
          <w:sz w:val="24"/>
          <w:szCs w:val="24"/>
          <w:lang w:eastAsia="es-ES"/>
          <w14:ligatures w14:val="none"/>
        </w:rPr>
        <w:t>]. Furthermore, dissemination of cancer cells into the peritoneum is frequent in digestive and gynecological cancers and is associated with poor prognosis [</w:t>
      </w:r>
      <w:hyperlink r:id="rId79" w:anchor="r19" w:history="1">
        <w:r w:rsidRPr="00A925E0">
          <w:rPr>
            <w:rFonts w:ascii="Times New Roman" w:eastAsia="Times New Roman" w:hAnsi="Times New Roman" w:cs="Times New Roman"/>
            <w:color w:val="0000FF"/>
            <w:kern w:val="0"/>
            <w:sz w:val="24"/>
            <w:szCs w:val="24"/>
            <w:u w:val="single"/>
            <w:lang w:eastAsia="es-ES"/>
            <w14:ligatures w14:val="none"/>
          </w:rPr>
          <w:t>19</w:t>
        </w:r>
      </w:hyperlink>
      <w:r w:rsidRPr="00A925E0">
        <w:rPr>
          <w:rFonts w:ascii="Times New Roman" w:eastAsia="Times New Roman" w:hAnsi="Times New Roman" w:cs="Times New Roman"/>
          <w:kern w:val="0"/>
          <w:sz w:val="24"/>
          <w:szCs w:val="24"/>
          <w:lang w:eastAsia="es-ES"/>
          <w14:ligatures w14:val="none"/>
        </w:rPr>
        <w:t>], highlighting the relevance of the chosen model.</w:t>
      </w:r>
    </w:p>
    <w:p w14:paraId="04E29261"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To conduct these experiments, we first generated a MC-38 clone harboring constitutive expression of firefly luciferase which enables monitoring tumor progression by intravital imaging (MC-38</w:t>
      </w:r>
      <w:r w:rsidRPr="00A925E0">
        <w:rPr>
          <w:rFonts w:ascii="Times New Roman" w:eastAsia="Times New Roman" w:hAnsi="Times New Roman" w:cs="Times New Roman"/>
          <w:kern w:val="0"/>
          <w:sz w:val="24"/>
          <w:szCs w:val="24"/>
          <w:vertAlign w:val="superscript"/>
          <w:lang w:eastAsia="es-ES"/>
          <w14:ligatures w14:val="none"/>
        </w:rPr>
        <w:t>luc</w:t>
      </w:r>
      <w:r w:rsidRPr="00A925E0">
        <w:rPr>
          <w:rFonts w:ascii="Times New Roman" w:eastAsia="Times New Roman" w:hAnsi="Times New Roman" w:cs="Times New Roman"/>
          <w:kern w:val="0"/>
          <w:sz w:val="24"/>
          <w:szCs w:val="24"/>
          <w:lang w:eastAsia="es-ES"/>
          <w14:ligatures w14:val="none"/>
        </w:rPr>
        <w:t>). Intraperitoneal injection of MC-38</w:t>
      </w:r>
      <w:r w:rsidRPr="00A925E0">
        <w:rPr>
          <w:rFonts w:ascii="Times New Roman" w:eastAsia="Times New Roman" w:hAnsi="Times New Roman" w:cs="Times New Roman"/>
          <w:kern w:val="0"/>
          <w:sz w:val="24"/>
          <w:szCs w:val="24"/>
          <w:vertAlign w:val="superscript"/>
          <w:lang w:eastAsia="es-ES"/>
          <w14:ligatures w14:val="none"/>
        </w:rPr>
        <w:t>luc</w:t>
      </w:r>
      <w:r w:rsidRPr="00A925E0">
        <w:rPr>
          <w:rFonts w:ascii="Times New Roman" w:eastAsia="Times New Roman" w:hAnsi="Times New Roman" w:cs="Times New Roman"/>
          <w:kern w:val="0"/>
          <w:sz w:val="24"/>
          <w:szCs w:val="24"/>
          <w:lang w:eastAsia="es-ES"/>
          <w14:ligatures w14:val="none"/>
        </w:rPr>
        <w:t xml:space="preserve"> cells led to a lethal disease associated to the dissemination and growth of cancer cells in the peritoneal cavity (</w:t>
      </w:r>
      <w:hyperlink r:id="rId80" w:anchor="f5" w:history="1">
        <w:r w:rsidRPr="00A925E0">
          <w:rPr>
            <w:rFonts w:ascii="Times New Roman" w:eastAsia="Times New Roman" w:hAnsi="Times New Roman" w:cs="Times New Roman"/>
            <w:color w:val="0000FF"/>
            <w:kern w:val="0"/>
            <w:sz w:val="24"/>
            <w:szCs w:val="24"/>
            <w:u w:val="single"/>
            <w:lang w:eastAsia="es-ES"/>
            <w14:ligatures w14:val="none"/>
          </w:rPr>
          <w:t>Figure 5A</w:t>
        </w:r>
      </w:hyperlink>
      <w:r w:rsidRPr="00A925E0">
        <w:rPr>
          <w:rFonts w:ascii="Times New Roman" w:eastAsia="Times New Roman" w:hAnsi="Times New Roman" w:cs="Times New Roman"/>
          <w:kern w:val="0"/>
          <w:sz w:val="24"/>
          <w:szCs w:val="24"/>
          <w:lang w:eastAsia="es-ES"/>
          <w14:ligatures w14:val="none"/>
        </w:rPr>
        <w:t>). Treatment with AP20187 did not affect the progression of the disease in wt mice (</w:t>
      </w:r>
      <w:hyperlink r:id="rId81" w:anchor="SD2" w:history="1">
        <w:r w:rsidRPr="00A925E0">
          <w:rPr>
            <w:rFonts w:ascii="Times New Roman" w:eastAsia="Times New Roman" w:hAnsi="Times New Roman" w:cs="Times New Roman"/>
            <w:color w:val="0000FF"/>
            <w:kern w:val="0"/>
            <w:sz w:val="24"/>
            <w:szCs w:val="24"/>
            <w:u w:val="single"/>
            <w:lang w:eastAsia="es-ES"/>
            <w14:ligatures w14:val="none"/>
          </w:rPr>
          <w:t>Supplementary Figure 4A</w:t>
        </w:r>
      </w:hyperlink>
      <w:r w:rsidRPr="00A925E0">
        <w:rPr>
          <w:rFonts w:ascii="Times New Roman" w:eastAsia="Times New Roman" w:hAnsi="Times New Roman" w:cs="Times New Roman"/>
          <w:kern w:val="0"/>
          <w:sz w:val="24"/>
          <w:szCs w:val="24"/>
          <w:lang w:eastAsia="es-ES"/>
          <w14:ligatures w14:val="none"/>
        </w:rPr>
        <w:t xml:space="preserve">). Strikingly, while all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mice were dead within the first month after being intraperitoneally injected with MC-38</w:t>
      </w:r>
      <w:r w:rsidRPr="00A925E0">
        <w:rPr>
          <w:rFonts w:ascii="Times New Roman" w:eastAsia="Times New Roman" w:hAnsi="Times New Roman" w:cs="Times New Roman"/>
          <w:kern w:val="0"/>
          <w:sz w:val="24"/>
          <w:szCs w:val="24"/>
          <w:vertAlign w:val="superscript"/>
          <w:lang w:eastAsia="es-ES"/>
          <w14:ligatures w14:val="none"/>
        </w:rPr>
        <w:t>luc</w:t>
      </w:r>
      <w:r w:rsidRPr="00A925E0">
        <w:rPr>
          <w:rFonts w:ascii="Times New Roman" w:eastAsia="Times New Roman" w:hAnsi="Times New Roman" w:cs="Times New Roman"/>
          <w:kern w:val="0"/>
          <w:sz w:val="24"/>
          <w:szCs w:val="24"/>
          <w:lang w:eastAsia="es-ES"/>
          <w14:ligatures w14:val="none"/>
        </w:rPr>
        <w:t xml:space="preserve"> cells, a prior treatment with AP20187 prior to the injection of MC-38 cells led to survival of half of the animals (</w:t>
      </w:r>
      <w:hyperlink r:id="rId82" w:anchor="f5" w:history="1">
        <w:r w:rsidRPr="00A925E0">
          <w:rPr>
            <w:rFonts w:ascii="Times New Roman" w:eastAsia="Times New Roman" w:hAnsi="Times New Roman" w:cs="Times New Roman"/>
            <w:color w:val="0000FF"/>
            <w:kern w:val="0"/>
            <w:sz w:val="24"/>
            <w:szCs w:val="24"/>
            <w:u w:val="single"/>
            <w:lang w:eastAsia="es-ES"/>
            <w14:ligatures w14:val="none"/>
          </w:rPr>
          <w:t>Figure 5B</w:t>
        </w:r>
      </w:hyperlink>
      <w:r w:rsidRPr="00A925E0">
        <w:rPr>
          <w:rFonts w:ascii="Times New Roman" w:eastAsia="Times New Roman" w:hAnsi="Times New Roman" w:cs="Times New Roman"/>
          <w:kern w:val="0"/>
          <w:sz w:val="24"/>
          <w:szCs w:val="24"/>
          <w:lang w:eastAsia="es-ES"/>
          <w14:ligatures w14:val="none"/>
        </w:rPr>
        <w:t xml:space="preserve">). Consistently, intravital imaging showed a clear reduction of MC-38 cells in the peritoneum of AP20187-treated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mice (</w:t>
      </w:r>
      <w:hyperlink r:id="rId83" w:anchor="f5" w:history="1">
        <w:r w:rsidRPr="00A925E0">
          <w:rPr>
            <w:rFonts w:ascii="Times New Roman" w:eastAsia="Times New Roman" w:hAnsi="Times New Roman" w:cs="Times New Roman"/>
            <w:color w:val="0000FF"/>
            <w:kern w:val="0"/>
            <w:sz w:val="24"/>
            <w:szCs w:val="24"/>
            <w:u w:val="single"/>
            <w:lang w:eastAsia="es-ES"/>
            <w14:ligatures w14:val="none"/>
          </w:rPr>
          <w:t>Figure 5C</w:t>
        </w:r>
      </w:hyperlink>
      <w:r w:rsidRPr="00A925E0">
        <w:rPr>
          <w:rFonts w:ascii="Times New Roman" w:eastAsia="Times New Roman" w:hAnsi="Times New Roman" w:cs="Times New Roman"/>
          <w:kern w:val="0"/>
          <w:sz w:val="24"/>
          <w:szCs w:val="24"/>
          <w:lang w:eastAsia="es-ES"/>
          <w14:ligatures w14:val="none"/>
        </w:rPr>
        <w:t xml:space="preserve">). Furthermore, and similar to our previous observations in the LPS-sepsis model, intraperitoneal tumors from AP20187-treated presented a significant </w:t>
      </w:r>
      <w:r w:rsidRPr="00A925E0">
        <w:rPr>
          <w:rFonts w:ascii="Times New Roman" w:eastAsia="Times New Roman" w:hAnsi="Times New Roman" w:cs="Times New Roman"/>
          <w:kern w:val="0"/>
          <w:sz w:val="24"/>
          <w:szCs w:val="24"/>
          <w:lang w:eastAsia="es-ES"/>
          <w14:ligatures w14:val="none"/>
        </w:rPr>
        <w:lastRenderedPageBreak/>
        <w:t>accumulation of infiltrating CD8 lymphocytes, highlighting the increased immune response to the tumor (</w:t>
      </w:r>
      <w:hyperlink r:id="rId84" w:anchor="f5" w:history="1">
        <w:r w:rsidRPr="00A925E0">
          <w:rPr>
            <w:rFonts w:ascii="Times New Roman" w:eastAsia="Times New Roman" w:hAnsi="Times New Roman" w:cs="Times New Roman"/>
            <w:color w:val="0000FF"/>
            <w:kern w:val="0"/>
            <w:sz w:val="24"/>
            <w:szCs w:val="24"/>
            <w:u w:val="single"/>
            <w:lang w:eastAsia="es-ES"/>
            <w14:ligatures w14:val="none"/>
          </w:rPr>
          <w:t>Figure 5D</w:t>
        </w:r>
      </w:hyperlink>
      <w:r w:rsidRPr="00A925E0">
        <w:rPr>
          <w:rFonts w:ascii="Times New Roman" w:eastAsia="Times New Roman" w:hAnsi="Times New Roman" w:cs="Times New Roman"/>
          <w:kern w:val="0"/>
          <w:sz w:val="24"/>
          <w:szCs w:val="24"/>
          <w:lang w:eastAsia="es-ES"/>
          <w14:ligatures w14:val="none"/>
        </w:rPr>
        <w:t xml:space="preserve">). Besides this prevention model, AP20187 treatment also increased the survival of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i/>
          <w:iCs/>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mice if the drug was administered 4 days after the injection of MC-38 cells (treatment model) (</w:t>
      </w:r>
      <w:hyperlink r:id="rId85" w:anchor="SD2" w:history="1">
        <w:r w:rsidRPr="00A925E0">
          <w:rPr>
            <w:rFonts w:ascii="Times New Roman" w:eastAsia="Times New Roman" w:hAnsi="Times New Roman" w:cs="Times New Roman"/>
            <w:color w:val="0000FF"/>
            <w:kern w:val="0"/>
            <w:sz w:val="24"/>
            <w:szCs w:val="24"/>
            <w:u w:val="single"/>
            <w:lang w:eastAsia="es-ES"/>
            <w14:ligatures w14:val="none"/>
          </w:rPr>
          <w:t>Supplementary Figure 4B</w:t>
        </w:r>
      </w:hyperlink>
      <w:r w:rsidRPr="00A925E0">
        <w:rPr>
          <w:rFonts w:ascii="Times New Roman" w:eastAsia="Times New Roman" w:hAnsi="Times New Roman" w:cs="Times New Roman"/>
          <w:kern w:val="0"/>
          <w:sz w:val="24"/>
          <w:szCs w:val="24"/>
          <w:lang w:eastAsia="es-ES"/>
          <w14:ligatures w14:val="none"/>
        </w:rPr>
        <w:t>–</w:t>
      </w:r>
      <w:hyperlink r:id="rId86" w:anchor="SD2" w:history="1">
        <w:r w:rsidRPr="00A925E0">
          <w:rPr>
            <w:rFonts w:ascii="Times New Roman" w:eastAsia="Times New Roman" w:hAnsi="Times New Roman" w:cs="Times New Roman"/>
            <w:color w:val="0000FF"/>
            <w:kern w:val="0"/>
            <w:sz w:val="24"/>
            <w:szCs w:val="24"/>
            <w:u w:val="single"/>
            <w:lang w:eastAsia="es-ES"/>
            <w14:ligatures w14:val="none"/>
          </w:rPr>
          <w:t>4D</w:t>
        </w:r>
      </w:hyperlink>
      <w:r w:rsidRPr="00A925E0">
        <w:rPr>
          <w:rFonts w:ascii="Times New Roman" w:eastAsia="Times New Roman" w:hAnsi="Times New Roman" w:cs="Times New Roman"/>
          <w:kern w:val="0"/>
          <w:sz w:val="24"/>
          <w:szCs w:val="24"/>
          <w:lang w:eastAsia="es-ES"/>
          <w14:ligatures w14:val="none"/>
        </w:rPr>
        <w:t>). Together with the data from the LPS-induced septic shock, these experiments indicate that the selective targeting of 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xml:space="preserve"> cells intensifies immune responses in the peritoneum, which in the context of cancer is protective and favours the clearance of tumor cells.</w:t>
      </w:r>
    </w:p>
    <w:p w14:paraId="03163689" w14:textId="77777777" w:rsidR="00A925E0" w:rsidRPr="00A925E0" w:rsidRDefault="00A925E0" w:rsidP="00A925E0">
      <w:pPr>
        <w:spacing w:after="0"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noProof/>
          <w:color w:val="0000FF"/>
          <w:kern w:val="0"/>
          <w:sz w:val="24"/>
          <w:szCs w:val="24"/>
          <w:lang w:eastAsia="es-ES"/>
          <w14:ligatures w14:val="none"/>
        </w:rPr>
        <w:drawing>
          <wp:inline distT="0" distB="0" distL="0" distR="0" wp14:anchorId="7C821821" wp14:editId="25E498BC">
            <wp:extent cx="9715500" cy="5379720"/>
            <wp:effectExtent l="0" t="0" r="0" b="0"/>
            <wp:docPr id="5" name="Imagen 1" descr="Depleting PD-L1+ cells prolongs survival in an immunocompetent model of peritoneal cancer metastasis. (A) Schematic overview of the prevention experimental workflow. 5 × 105 MC-38luc cells were intraperitoneally injected into mice that were previously injected i.p. for 3 consecutive days with AP20187 (2.5 mg/kg). (B) Kaplan-Meier survival curve of control and AP20187-pretreated PD-L1AT/+ mice after i.p. inoculation of MC-38luc allografts. The p value was calculated with the Mantel-Cox log rank test. ***p C) Representative IVIS image of mice from the experiment defined in (B) at day 4 post-tumor injection. (D) IHC of CD8 in intraperitoneal MC-38luc allografts isolated from control and AP20187-treated PD-L1AT/+ mice. Insets in each panel are magnified to illustrate the presence of tumor-infiltrating CD8+ cells. Scale bar (black) indicates 30 μm.">
              <a:hlinkClick xmlns:a="http://schemas.openxmlformats.org/drawingml/2006/main" r:id="rId8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pleting PD-L1+ cells prolongs survival in an immunocompetent model of peritoneal cancer metastasis. (A) Schematic overview of the prevention experimental workflow. 5 × 105 MC-38luc cells were intraperitoneally injected into mice that were previously injected i.p. for 3 consecutive days with AP20187 (2.5 mg/kg). (B) Kaplan-Meier survival curve of control and AP20187-pretreated PD-L1AT/+ mice after i.p. inoculation of MC-38luc allografts. The p value was calculated with the Mantel-Cox log rank test. ***p C) Representative IVIS image of mice from the experiment defined in (B) at day 4 post-tumor injection. (D) IHC of CD8 in intraperitoneal MC-38luc allografts isolated from control and AP20187-treated PD-L1AT/+ mice. Insets in each panel are magnified to illustrate the presence of tumor-infiltrating CD8+ cells. Scale bar (black) indicates 30 μm.">
                      <a:hlinkClick r:id="rId87"/>
                    </pic:cNvPr>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9715500" cy="5379720"/>
                    </a:xfrm>
                    <a:prstGeom prst="rect">
                      <a:avLst/>
                    </a:prstGeom>
                    <a:noFill/>
                    <a:ln>
                      <a:noFill/>
                    </a:ln>
                  </pic:spPr>
                </pic:pic>
              </a:graphicData>
            </a:graphic>
          </wp:inline>
        </w:drawing>
      </w:r>
    </w:p>
    <w:p w14:paraId="0636C817"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Figure 5.</w:t>
      </w:r>
      <w:r w:rsidRPr="00A925E0">
        <w:rPr>
          <w:rFonts w:ascii="Times New Roman" w:eastAsia="Times New Roman" w:hAnsi="Times New Roman" w:cs="Times New Roman"/>
          <w:kern w:val="0"/>
          <w:sz w:val="24"/>
          <w:szCs w:val="24"/>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Depleting PD-L1</w:t>
      </w:r>
      <w:r w:rsidRPr="00A925E0">
        <w:rPr>
          <w:rFonts w:ascii="Times New Roman" w:eastAsia="Times New Roman" w:hAnsi="Times New Roman" w:cs="Times New Roman"/>
          <w:b/>
          <w:bCs/>
          <w:kern w:val="0"/>
          <w:sz w:val="24"/>
          <w:szCs w:val="24"/>
          <w:vertAlign w:val="superscript"/>
          <w:lang w:eastAsia="es-ES"/>
          <w14:ligatures w14:val="none"/>
        </w:rPr>
        <w:t>+</w:t>
      </w:r>
      <w:r w:rsidRPr="00A925E0">
        <w:rPr>
          <w:rFonts w:ascii="Times New Roman" w:eastAsia="Times New Roman" w:hAnsi="Times New Roman" w:cs="Times New Roman"/>
          <w:b/>
          <w:bCs/>
          <w:kern w:val="0"/>
          <w:sz w:val="24"/>
          <w:szCs w:val="24"/>
          <w:lang w:eastAsia="es-ES"/>
          <w14:ligatures w14:val="none"/>
        </w:rPr>
        <w:t xml:space="preserve"> cells prolongs survival in an immunocompetent model of peritoneal cancer metastasis.</w:t>
      </w:r>
      <w:r w:rsidRPr="00A925E0">
        <w:rPr>
          <w:rFonts w:ascii="Times New Roman" w:eastAsia="Times New Roman" w:hAnsi="Times New Roman" w:cs="Times New Roman"/>
          <w:kern w:val="0"/>
          <w:sz w:val="24"/>
          <w:szCs w:val="24"/>
          <w:lang w:eastAsia="es-ES"/>
          <w14:ligatures w14:val="none"/>
        </w:rPr>
        <w:t xml:space="preserve"> (</w:t>
      </w:r>
      <w:r w:rsidRPr="00A925E0">
        <w:rPr>
          <w:rFonts w:ascii="Times New Roman" w:eastAsia="Times New Roman" w:hAnsi="Times New Roman" w:cs="Times New Roman"/>
          <w:b/>
          <w:bCs/>
          <w:kern w:val="0"/>
          <w:sz w:val="24"/>
          <w:szCs w:val="24"/>
          <w:lang w:eastAsia="es-ES"/>
          <w14:ligatures w14:val="none"/>
        </w:rPr>
        <w:t>A</w:t>
      </w:r>
      <w:r w:rsidRPr="00A925E0">
        <w:rPr>
          <w:rFonts w:ascii="Times New Roman" w:eastAsia="Times New Roman" w:hAnsi="Times New Roman" w:cs="Times New Roman"/>
          <w:kern w:val="0"/>
          <w:sz w:val="24"/>
          <w:szCs w:val="24"/>
          <w:lang w:eastAsia="es-ES"/>
          <w14:ligatures w14:val="none"/>
        </w:rPr>
        <w:t>) Schematic overview of the prevention experimental workflow. 5 × 10</w:t>
      </w:r>
      <w:r w:rsidRPr="00A925E0">
        <w:rPr>
          <w:rFonts w:ascii="Times New Roman" w:eastAsia="Times New Roman" w:hAnsi="Times New Roman" w:cs="Times New Roman"/>
          <w:kern w:val="0"/>
          <w:sz w:val="24"/>
          <w:szCs w:val="24"/>
          <w:vertAlign w:val="superscript"/>
          <w:lang w:eastAsia="es-ES"/>
          <w14:ligatures w14:val="none"/>
        </w:rPr>
        <w:t>5</w:t>
      </w:r>
      <w:r w:rsidRPr="00A925E0">
        <w:rPr>
          <w:rFonts w:ascii="Times New Roman" w:eastAsia="Times New Roman" w:hAnsi="Times New Roman" w:cs="Times New Roman"/>
          <w:kern w:val="0"/>
          <w:sz w:val="24"/>
          <w:szCs w:val="24"/>
          <w:lang w:eastAsia="es-ES"/>
          <w14:ligatures w14:val="none"/>
        </w:rPr>
        <w:t xml:space="preserve"> MC-38</w:t>
      </w:r>
      <w:r w:rsidRPr="00A925E0">
        <w:rPr>
          <w:rFonts w:ascii="Times New Roman" w:eastAsia="Times New Roman" w:hAnsi="Times New Roman" w:cs="Times New Roman"/>
          <w:kern w:val="0"/>
          <w:sz w:val="24"/>
          <w:szCs w:val="24"/>
          <w:vertAlign w:val="superscript"/>
          <w:lang w:eastAsia="es-ES"/>
          <w14:ligatures w14:val="none"/>
        </w:rPr>
        <w:t>luc</w:t>
      </w:r>
      <w:r w:rsidRPr="00A925E0">
        <w:rPr>
          <w:rFonts w:ascii="Times New Roman" w:eastAsia="Times New Roman" w:hAnsi="Times New Roman" w:cs="Times New Roman"/>
          <w:kern w:val="0"/>
          <w:sz w:val="24"/>
          <w:szCs w:val="24"/>
          <w:lang w:eastAsia="es-ES"/>
          <w14:ligatures w14:val="none"/>
        </w:rPr>
        <w:t xml:space="preserve"> cells were intraperitoneally injected into mice that were previously injected i.p. for 3 consecutive days with AP20187 (2.5 mg/kg). (</w:t>
      </w:r>
      <w:r w:rsidRPr="00A925E0">
        <w:rPr>
          <w:rFonts w:ascii="Times New Roman" w:eastAsia="Times New Roman" w:hAnsi="Times New Roman" w:cs="Times New Roman"/>
          <w:b/>
          <w:bCs/>
          <w:kern w:val="0"/>
          <w:sz w:val="24"/>
          <w:szCs w:val="24"/>
          <w:lang w:eastAsia="es-ES"/>
          <w14:ligatures w14:val="none"/>
        </w:rPr>
        <w:t>B</w:t>
      </w:r>
      <w:r w:rsidRPr="00A925E0">
        <w:rPr>
          <w:rFonts w:ascii="Times New Roman" w:eastAsia="Times New Roman" w:hAnsi="Times New Roman" w:cs="Times New Roman"/>
          <w:kern w:val="0"/>
          <w:sz w:val="24"/>
          <w:szCs w:val="24"/>
          <w:lang w:eastAsia="es-ES"/>
          <w14:ligatures w14:val="none"/>
        </w:rPr>
        <w:t xml:space="preserve">) Kaplan-Meier survival curve of control and AP20187-pretreated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mice after i.p. inoculation of MC-38</w:t>
      </w:r>
      <w:r w:rsidRPr="00A925E0">
        <w:rPr>
          <w:rFonts w:ascii="Times New Roman" w:eastAsia="Times New Roman" w:hAnsi="Times New Roman" w:cs="Times New Roman"/>
          <w:kern w:val="0"/>
          <w:sz w:val="24"/>
          <w:szCs w:val="24"/>
          <w:vertAlign w:val="superscript"/>
          <w:lang w:eastAsia="es-ES"/>
          <w14:ligatures w14:val="none"/>
        </w:rPr>
        <w:t>luc</w:t>
      </w:r>
      <w:r w:rsidRPr="00A925E0">
        <w:rPr>
          <w:rFonts w:ascii="Times New Roman" w:eastAsia="Times New Roman" w:hAnsi="Times New Roman" w:cs="Times New Roman"/>
          <w:kern w:val="0"/>
          <w:sz w:val="24"/>
          <w:szCs w:val="24"/>
          <w:lang w:eastAsia="es-ES"/>
          <w14:ligatures w14:val="none"/>
        </w:rPr>
        <w:t xml:space="preserve"> allografts. The </w:t>
      </w:r>
      <w:r w:rsidRPr="00A925E0">
        <w:rPr>
          <w:rFonts w:ascii="Times New Roman" w:eastAsia="Times New Roman" w:hAnsi="Times New Roman" w:cs="Times New Roman"/>
          <w:i/>
          <w:iCs/>
          <w:kern w:val="0"/>
          <w:sz w:val="24"/>
          <w:szCs w:val="24"/>
          <w:lang w:eastAsia="es-ES"/>
          <w14:ligatures w14:val="none"/>
        </w:rPr>
        <w:t>p</w:t>
      </w:r>
      <w:r w:rsidRPr="00A925E0">
        <w:rPr>
          <w:rFonts w:ascii="Times New Roman" w:eastAsia="Times New Roman" w:hAnsi="Times New Roman" w:cs="Times New Roman"/>
          <w:kern w:val="0"/>
          <w:sz w:val="24"/>
          <w:szCs w:val="24"/>
          <w:lang w:eastAsia="es-ES"/>
          <w14:ligatures w14:val="none"/>
        </w:rPr>
        <w:t xml:space="preserve"> value was calculated with the Mantel-Cox log rank test. </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i/>
          <w:iCs/>
          <w:kern w:val="0"/>
          <w:sz w:val="24"/>
          <w:szCs w:val="24"/>
          <w:lang w:eastAsia="es-ES"/>
          <w14:ligatures w14:val="none"/>
        </w:rPr>
        <w:t>p</w:t>
      </w:r>
      <w:r w:rsidRPr="00A925E0">
        <w:rPr>
          <w:rFonts w:ascii="Times New Roman" w:eastAsia="Times New Roman" w:hAnsi="Times New Roman" w:cs="Times New Roman"/>
          <w:kern w:val="0"/>
          <w:sz w:val="24"/>
          <w:szCs w:val="24"/>
          <w:lang w:eastAsia="es-ES"/>
          <w14:ligatures w14:val="none"/>
        </w:rPr>
        <w:t xml:space="preserve"> &lt; 0.001. (</w:t>
      </w:r>
      <w:r w:rsidRPr="00A925E0">
        <w:rPr>
          <w:rFonts w:ascii="Times New Roman" w:eastAsia="Times New Roman" w:hAnsi="Times New Roman" w:cs="Times New Roman"/>
          <w:b/>
          <w:bCs/>
          <w:kern w:val="0"/>
          <w:sz w:val="24"/>
          <w:szCs w:val="24"/>
          <w:lang w:eastAsia="es-ES"/>
          <w14:ligatures w14:val="none"/>
        </w:rPr>
        <w:t>C</w:t>
      </w:r>
      <w:r w:rsidRPr="00A925E0">
        <w:rPr>
          <w:rFonts w:ascii="Times New Roman" w:eastAsia="Times New Roman" w:hAnsi="Times New Roman" w:cs="Times New Roman"/>
          <w:kern w:val="0"/>
          <w:sz w:val="24"/>
          <w:szCs w:val="24"/>
          <w:lang w:eastAsia="es-ES"/>
          <w14:ligatures w14:val="none"/>
        </w:rPr>
        <w:t>) Representative IVIS image of mice from the experiment defined in (</w:t>
      </w:r>
      <w:r w:rsidRPr="00A925E0">
        <w:rPr>
          <w:rFonts w:ascii="Times New Roman" w:eastAsia="Times New Roman" w:hAnsi="Times New Roman" w:cs="Times New Roman"/>
          <w:b/>
          <w:bCs/>
          <w:kern w:val="0"/>
          <w:sz w:val="24"/>
          <w:szCs w:val="24"/>
          <w:lang w:eastAsia="es-ES"/>
          <w14:ligatures w14:val="none"/>
        </w:rPr>
        <w:t>B</w:t>
      </w:r>
      <w:r w:rsidRPr="00A925E0">
        <w:rPr>
          <w:rFonts w:ascii="Times New Roman" w:eastAsia="Times New Roman" w:hAnsi="Times New Roman" w:cs="Times New Roman"/>
          <w:kern w:val="0"/>
          <w:sz w:val="24"/>
          <w:szCs w:val="24"/>
          <w:lang w:eastAsia="es-ES"/>
          <w14:ligatures w14:val="none"/>
        </w:rPr>
        <w:t>) at day 4 post-tumor injection. (</w:t>
      </w:r>
      <w:r w:rsidRPr="00A925E0">
        <w:rPr>
          <w:rFonts w:ascii="Times New Roman" w:eastAsia="Times New Roman" w:hAnsi="Times New Roman" w:cs="Times New Roman"/>
          <w:b/>
          <w:bCs/>
          <w:kern w:val="0"/>
          <w:sz w:val="24"/>
          <w:szCs w:val="24"/>
          <w:lang w:eastAsia="es-ES"/>
          <w14:ligatures w14:val="none"/>
        </w:rPr>
        <w:t>D</w:t>
      </w:r>
      <w:r w:rsidRPr="00A925E0">
        <w:rPr>
          <w:rFonts w:ascii="Times New Roman" w:eastAsia="Times New Roman" w:hAnsi="Times New Roman" w:cs="Times New Roman"/>
          <w:kern w:val="0"/>
          <w:sz w:val="24"/>
          <w:szCs w:val="24"/>
          <w:lang w:eastAsia="es-ES"/>
          <w14:ligatures w14:val="none"/>
        </w:rPr>
        <w:t>) IHC of CD8 in intraperitoneal MC-38</w:t>
      </w:r>
      <w:r w:rsidRPr="00A925E0">
        <w:rPr>
          <w:rFonts w:ascii="Times New Roman" w:eastAsia="Times New Roman" w:hAnsi="Times New Roman" w:cs="Times New Roman"/>
          <w:kern w:val="0"/>
          <w:sz w:val="24"/>
          <w:szCs w:val="24"/>
          <w:vertAlign w:val="superscript"/>
          <w:lang w:eastAsia="es-ES"/>
          <w14:ligatures w14:val="none"/>
        </w:rPr>
        <w:t>luc</w:t>
      </w:r>
      <w:r w:rsidRPr="00A925E0">
        <w:rPr>
          <w:rFonts w:ascii="Times New Roman" w:eastAsia="Times New Roman" w:hAnsi="Times New Roman" w:cs="Times New Roman"/>
          <w:kern w:val="0"/>
          <w:sz w:val="24"/>
          <w:szCs w:val="24"/>
          <w:lang w:eastAsia="es-ES"/>
          <w14:ligatures w14:val="none"/>
        </w:rPr>
        <w:t xml:space="preserve"> allografts isolated from control and AP20187-treated </w:t>
      </w:r>
      <w:r w:rsidRPr="00A925E0">
        <w:rPr>
          <w:rFonts w:ascii="Times New Roman" w:eastAsia="Times New Roman" w:hAnsi="Times New Roman" w:cs="Times New Roman"/>
          <w:i/>
          <w:iCs/>
          <w:kern w:val="0"/>
          <w:sz w:val="24"/>
          <w:szCs w:val="24"/>
          <w:lang w:eastAsia="es-ES"/>
          <w14:ligatures w14:val="none"/>
        </w:rPr>
        <w:t>PD-L1</w:t>
      </w:r>
      <w:r w:rsidRPr="00A925E0">
        <w:rPr>
          <w:rFonts w:ascii="Times New Roman" w:eastAsia="Times New Roman" w:hAnsi="Times New Roman" w:cs="Times New Roman"/>
          <w:kern w:val="0"/>
          <w:sz w:val="24"/>
          <w:szCs w:val="24"/>
          <w:vertAlign w:val="superscript"/>
          <w:lang w:eastAsia="es-ES"/>
          <w14:ligatures w14:val="none"/>
        </w:rPr>
        <w:t>AT/+</w:t>
      </w:r>
      <w:r w:rsidRPr="00A925E0">
        <w:rPr>
          <w:rFonts w:ascii="Times New Roman" w:eastAsia="Times New Roman" w:hAnsi="Times New Roman" w:cs="Times New Roman"/>
          <w:kern w:val="0"/>
          <w:sz w:val="24"/>
          <w:szCs w:val="24"/>
          <w:lang w:eastAsia="es-ES"/>
          <w14:ligatures w14:val="none"/>
        </w:rPr>
        <w:t xml:space="preserve"> mice. Insets in </w:t>
      </w:r>
      <w:r w:rsidRPr="00A925E0">
        <w:rPr>
          <w:rFonts w:ascii="Times New Roman" w:eastAsia="Times New Roman" w:hAnsi="Times New Roman" w:cs="Times New Roman"/>
          <w:kern w:val="0"/>
          <w:sz w:val="24"/>
          <w:szCs w:val="24"/>
          <w:lang w:eastAsia="es-ES"/>
          <w14:ligatures w14:val="none"/>
        </w:rPr>
        <w:lastRenderedPageBreak/>
        <w:t>each panel are magnified to illustrate the presence of tumor-infiltrating CD8</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xml:space="preserve"> cells. Scale bar (black) indicates 30 μm.</w:t>
      </w:r>
    </w:p>
    <w:p w14:paraId="7EA6D52C"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In summary, we here present PD-L1</w:t>
      </w:r>
      <w:r w:rsidRPr="00A925E0">
        <w:rPr>
          <w:rFonts w:ascii="Times New Roman" w:eastAsia="Times New Roman" w:hAnsi="Times New Roman" w:cs="Times New Roman"/>
          <w:kern w:val="0"/>
          <w:sz w:val="24"/>
          <w:szCs w:val="24"/>
          <w:vertAlign w:val="superscript"/>
          <w:lang w:eastAsia="es-ES"/>
          <w14:ligatures w14:val="none"/>
        </w:rPr>
        <w:t>ATTAC</w:t>
      </w:r>
      <w:r w:rsidRPr="00A925E0">
        <w:rPr>
          <w:rFonts w:ascii="Times New Roman" w:eastAsia="Times New Roman" w:hAnsi="Times New Roman" w:cs="Times New Roman"/>
          <w:kern w:val="0"/>
          <w:sz w:val="24"/>
          <w:szCs w:val="24"/>
          <w:lang w:eastAsia="es-ES"/>
          <w14:ligatures w14:val="none"/>
        </w:rPr>
        <w:t xml:space="preserve"> as a reporter and inducible suicidal allele of mouse PD-L1. The reporter EGFP enables the identification and isolation of 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xml:space="preserve"> cells from adult tissues, which we believe is useful as antibodies detecting mouse PD-L1 often give signal in PD-L1 deficient samples. As for the inducible-suicidal strategy, our experiments indicate that this effect is significantly influenced by the administration route for AP20187 and growth rates of the cells, which we wonder to what extent could also have influenced previous studies using the ATTAC strategy. Despite these limitations, i.p. administration of AP20187 yields a very efficient depletion of 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xml:space="preserve"> from the peritoneum, enabling functional studies to investigate the impact of depleting PD-L1</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xml:space="preserve"> cells </w:t>
      </w:r>
      <w:r w:rsidRPr="00A925E0">
        <w:rPr>
          <w:rFonts w:ascii="Times New Roman" w:eastAsia="Times New Roman" w:hAnsi="Times New Roman" w:cs="Times New Roman"/>
          <w:i/>
          <w:iCs/>
          <w:kern w:val="0"/>
          <w:sz w:val="24"/>
          <w:szCs w:val="24"/>
          <w:lang w:eastAsia="es-ES"/>
          <w14:ligatures w14:val="none"/>
        </w:rPr>
        <w:t>in vivo</w:t>
      </w:r>
      <w:r w:rsidRPr="00A925E0">
        <w:rPr>
          <w:rFonts w:ascii="Times New Roman" w:eastAsia="Times New Roman" w:hAnsi="Times New Roman" w:cs="Times New Roman"/>
          <w:kern w:val="0"/>
          <w:sz w:val="24"/>
          <w:szCs w:val="24"/>
          <w:lang w:eastAsia="es-ES"/>
          <w14:ligatures w14:val="none"/>
        </w:rPr>
        <w:t>. Of note, no significant toxicities were observed in mice that were i.p. treated for up to 3 months with 3 weekly doses of AP20187. Our results confirm that the selective elimination boosts immune responses in the peritoneum, which prolongs survival against a model of peritoneal cancer metastasis. Hence, our work supports the usefulness of targeting PD-L1 expressing cells in cancer therapy, and provides the immunotherapy research community with a useful genetic tool for investigations on the PD-1/PD-L1 checkpoint in mice.</w:t>
      </w:r>
    </w:p>
    <w:p w14:paraId="614D005E" w14:textId="77777777" w:rsidR="00A925E0" w:rsidRPr="00A925E0" w:rsidRDefault="00A925E0" w:rsidP="00A925E0">
      <w:pPr>
        <w:spacing w:before="100" w:beforeAutospacing="1" w:after="100" w:afterAutospacing="1" w:line="240" w:lineRule="auto"/>
        <w:outlineLvl w:val="1"/>
        <w:rPr>
          <w:rFonts w:ascii="Times New Roman" w:eastAsia="Times New Roman" w:hAnsi="Times New Roman" w:cs="Times New Roman"/>
          <w:b/>
          <w:bCs/>
          <w:kern w:val="0"/>
          <w:sz w:val="36"/>
          <w:szCs w:val="36"/>
          <w:lang w:eastAsia="es-ES"/>
          <w14:ligatures w14:val="none"/>
        </w:rPr>
      </w:pPr>
      <w:r w:rsidRPr="00A925E0">
        <w:rPr>
          <w:rFonts w:ascii="Times New Roman" w:eastAsia="Times New Roman" w:hAnsi="Times New Roman" w:cs="Times New Roman"/>
          <w:b/>
          <w:bCs/>
          <w:kern w:val="0"/>
          <w:sz w:val="36"/>
          <w:szCs w:val="36"/>
          <w:lang w:eastAsia="es-ES"/>
          <w14:ligatures w14:val="none"/>
        </w:rPr>
        <w:t>Materials and Methods</w:t>
      </w:r>
    </w:p>
    <w:p w14:paraId="62140FC1"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r w:rsidRPr="00A925E0">
        <w:rPr>
          <w:rFonts w:ascii="Times New Roman" w:eastAsia="Times New Roman" w:hAnsi="Times New Roman" w:cs="Times New Roman"/>
          <w:b/>
          <w:bCs/>
          <w:kern w:val="0"/>
          <w:sz w:val="27"/>
          <w:szCs w:val="27"/>
          <w:lang w:eastAsia="es-ES"/>
          <w14:ligatures w14:val="none"/>
        </w:rPr>
        <w:t>Mouse models</w:t>
      </w:r>
    </w:p>
    <w:p w14:paraId="36AD57C0"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The PD-L1</w:t>
      </w:r>
      <w:r w:rsidRPr="00A925E0">
        <w:rPr>
          <w:rFonts w:ascii="Times New Roman" w:eastAsia="Times New Roman" w:hAnsi="Times New Roman" w:cs="Times New Roman"/>
          <w:kern w:val="0"/>
          <w:sz w:val="24"/>
          <w:szCs w:val="24"/>
          <w:vertAlign w:val="superscript"/>
          <w:lang w:eastAsia="es-ES"/>
          <w14:ligatures w14:val="none"/>
        </w:rPr>
        <w:t>ATTAC</w:t>
      </w:r>
      <w:r w:rsidRPr="00A925E0">
        <w:rPr>
          <w:rFonts w:ascii="Times New Roman" w:eastAsia="Times New Roman" w:hAnsi="Times New Roman" w:cs="Times New Roman"/>
          <w:kern w:val="0"/>
          <w:sz w:val="24"/>
          <w:szCs w:val="24"/>
          <w:lang w:eastAsia="es-ES"/>
          <w14:ligatures w14:val="none"/>
        </w:rPr>
        <w:t xml:space="preserve"> targeting vector was generated by recombineering (Genebridges, Germany). Recombinant ES cells were screened by Southern Blot through standard procedures, and subsequently used for the generation of chimaeras by aggregation. Animals were genotyped by PCR using the following primers (UP: 5′-TTGCTTCAGTTACAGCTGGCTCG-3′; Down_WT: 5′-CGTAGCAAGTGACAGCAGGCTG-3′; Down_MUT: 5′-GCCGTTTACGTCGCCGTCCAG-3′). Mice were kept under standard conditions at specific-pathogen free facility of the Spanish National Cancer Centre in a mixed C57BL/6-129/Sv background. 9–12-week-old mice were used for all experiments. All mouse work was performed in accordance with the Guidelines for Humane Endpoints for Animals Used in Biomedical Research, and under the supervision of the Ethics Committee for Animal Research of the “Instituto de Salud Carlos III”.</w:t>
      </w:r>
    </w:p>
    <w:p w14:paraId="330C2529"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r w:rsidRPr="00A925E0">
        <w:rPr>
          <w:rFonts w:ascii="Times New Roman" w:eastAsia="Times New Roman" w:hAnsi="Times New Roman" w:cs="Times New Roman"/>
          <w:b/>
          <w:bCs/>
          <w:kern w:val="0"/>
          <w:sz w:val="27"/>
          <w:szCs w:val="27"/>
          <w:lang w:eastAsia="es-ES"/>
          <w14:ligatures w14:val="none"/>
        </w:rPr>
        <w:t>AP20187 treatments</w:t>
      </w:r>
    </w:p>
    <w:p w14:paraId="73FA6983"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AP20187 (MedChemExpress, HY-13992) was resuspended in 75% EtOH at 62.5 mg/ml and stored at −20°C. For </w:t>
      </w:r>
      <w:r w:rsidRPr="00A925E0">
        <w:rPr>
          <w:rFonts w:ascii="Times New Roman" w:eastAsia="Times New Roman" w:hAnsi="Times New Roman" w:cs="Times New Roman"/>
          <w:i/>
          <w:iCs/>
          <w:kern w:val="0"/>
          <w:sz w:val="24"/>
          <w:szCs w:val="24"/>
          <w:lang w:eastAsia="es-ES"/>
          <w14:ligatures w14:val="none"/>
        </w:rPr>
        <w:t>in vitro</w:t>
      </w:r>
      <w:r w:rsidRPr="00A925E0">
        <w:rPr>
          <w:rFonts w:ascii="Times New Roman" w:eastAsia="Times New Roman" w:hAnsi="Times New Roman" w:cs="Times New Roman"/>
          <w:kern w:val="0"/>
          <w:sz w:val="24"/>
          <w:szCs w:val="24"/>
          <w:lang w:eastAsia="es-ES"/>
          <w14:ligatures w14:val="none"/>
        </w:rPr>
        <w:t xml:space="preserve"> experiments, cells were treated with 100 nM AP20187 for 48–72 h. </w:t>
      </w:r>
      <w:r w:rsidRPr="00A925E0">
        <w:rPr>
          <w:rFonts w:ascii="Times New Roman" w:eastAsia="Times New Roman" w:hAnsi="Times New Roman" w:cs="Times New Roman"/>
          <w:i/>
          <w:iCs/>
          <w:kern w:val="0"/>
          <w:sz w:val="24"/>
          <w:szCs w:val="24"/>
          <w:lang w:eastAsia="es-ES"/>
          <w14:ligatures w14:val="none"/>
        </w:rPr>
        <w:t>In vivo</w:t>
      </w:r>
      <w:r w:rsidRPr="00A925E0">
        <w:rPr>
          <w:rFonts w:ascii="Times New Roman" w:eastAsia="Times New Roman" w:hAnsi="Times New Roman" w:cs="Times New Roman"/>
          <w:kern w:val="0"/>
          <w:sz w:val="24"/>
          <w:szCs w:val="24"/>
          <w:lang w:eastAsia="es-ES"/>
          <w14:ligatures w14:val="none"/>
        </w:rPr>
        <w:t>, the compound was dissolved in 2% Tween-20 (Sigma-Aldrich, P7949) and 10% PEG-300 (Sigma-Aldrich #202371) and mice were i.p. injected with 2.5 mg/kg AP20187.</w:t>
      </w:r>
    </w:p>
    <w:p w14:paraId="68AEBBB3"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r w:rsidRPr="00A925E0">
        <w:rPr>
          <w:rFonts w:ascii="Times New Roman" w:eastAsia="Times New Roman" w:hAnsi="Times New Roman" w:cs="Times New Roman"/>
          <w:b/>
          <w:bCs/>
          <w:kern w:val="0"/>
          <w:sz w:val="27"/>
          <w:szCs w:val="27"/>
          <w:lang w:eastAsia="es-ES"/>
          <w14:ligatures w14:val="none"/>
        </w:rPr>
        <w:t>LPS-induced septicemia</w:t>
      </w:r>
    </w:p>
    <w:p w14:paraId="1263BEA3"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Mice were injected i.p. with AP20817 (2.5 mg/kg) for 3 consecutive days before an i.p. injection of LPS (10 mg/kg, Sigma-Aldrich, #L2630) resuspended in PBS. Blood, </w:t>
      </w:r>
      <w:r w:rsidRPr="00A925E0">
        <w:rPr>
          <w:rFonts w:ascii="Times New Roman" w:eastAsia="Times New Roman" w:hAnsi="Times New Roman" w:cs="Times New Roman"/>
          <w:kern w:val="0"/>
          <w:sz w:val="24"/>
          <w:szCs w:val="24"/>
          <w:lang w:eastAsia="es-ES"/>
          <w14:ligatures w14:val="none"/>
        </w:rPr>
        <w:lastRenderedPageBreak/>
        <w:t>plasma and tissues were isolated for further IHC and ELISA analyses. Mice were monitored for overall health and for a week after LPS injection.</w:t>
      </w:r>
    </w:p>
    <w:p w14:paraId="17952951"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r w:rsidRPr="00A925E0">
        <w:rPr>
          <w:rFonts w:ascii="Times New Roman" w:eastAsia="Times New Roman" w:hAnsi="Times New Roman" w:cs="Times New Roman"/>
          <w:b/>
          <w:bCs/>
          <w:kern w:val="0"/>
          <w:sz w:val="27"/>
          <w:szCs w:val="27"/>
          <w:lang w:eastAsia="es-ES"/>
          <w14:ligatures w14:val="none"/>
        </w:rPr>
        <w:t>MC-38</w:t>
      </w:r>
      <w:r w:rsidRPr="00A925E0">
        <w:rPr>
          <w:rFonts w:ascii="Times New Roman" w:eastAsia="Times New Roman" w:hAnsi="Times New Roman" w:cs="Times New Roman"/>
          <w:b/>
          <w:bCs/>
          <w:kern w:val="0"/>
          <w:sz w:val="27"/>
          <w:szCs w:val="27"/>
          <w:vertAlign w:val="superscript"/>
          <w:lang w:eastAsia="es-ES"/>
          <w14:ligatures w14:val="none"/>
        </w:rPr>
        <w:t>luc</w:t>
      </w:r>
      <w:r w:rsidRPr="00A925E0">
        <w:rPr>
          <w:rFonts w:ascii="Times New Roman" w:eastAsia="Times New Roman" w:hAnsi="Times New Roman" w:cs="Times New Roman"/>
          <w:b/>
          <w:bCs/>
          <w:kern w:val="0"/>
          <w:sz w:val="27"/>
          <w:szCs w:val="27"/>
          <w:lang w:eastAsia="es-ES"/>
          <w14:ligatures w14:val="none"/>
        </w:rPr>
        <w:t xml:space="preserve"> allografts</w:t>
      </w:r>
    </w:p>
    <w:p w14:paraId="505EC172"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Mice were injected i.p. with 5 × 10</w:t>
      </w:r>
      <w:r w:rsidRPr="00A925E0">
        <w:rPr>
          <w:rFonts w:ascii="Times New Roman" w:eastAsia="Times New Roman" w:hAnsi="Times New Roman" w:cs="Times New Roman"/>
          <w:kern w:val="0"/>
          <w:sz w:val="24"/>
          <w:szCs w:val="24"/>
          <w:vertAlign w:val="superscript"/>
          <w:lang w:eastAsia="es-ES"/>
          <w14:ligatures w14:val="none"/>
        </w:rPr>
        <w:t>5</w:t>
      </w:r>
      <w:r w:rsidRPr="00A925E0">
        <w:rPr>
          <w:rFonts w:ascii="Times New Roman" w:eastAsia="Times New Roman" w:hAnsi="Times New Roman" w:cs="Times New Roman"/>
          <w:kern w:val="0"/>
          <w:sz w:val="24"/>
          <w:szCs w:val="24"/>
          <w:lang w:eastAsia="es-ES"/>
          <w14:ligatures w14:val="none"/>
        </w:rPr>
        <w:t xml:space="preserve"> MC-38</w:t>
      </w:r>
      <w:r w:rsidRPr="00A925E0">
        <w:rPr>
          <w:rFonts w:ascii="Times New Roman" w:eastAsia="Times New Roman" w:hAnsi="Times New Roman" w:cs="Times New Roman"/>
          <w:kern w:val="0"/>
          <w:sz w:val="24"/>
          <w:szCs w:val="24"/>
          <w:vertAlign w:val="superscript"/>
          <w:lang w:eastAsia="es-ES"/>
          <w14:ligatures w14:val="none"/>
        </w:rPr>
        <w:t>luc</w:t>
      </w:r>
      <w:r w:rsidRPr="00A925E0">
        <w:rPr>
          <w:rFonts w:ascii="Times New Roman" w:eastAsia="Times New Roman" w:hAnsi="Times New Roman" w:cs="Times New Roman"/>
          <w:kern w:val="0"/>
          <w:sz w:val="24"/>
          <w:szCs w:val="24"/>
          <w:lang w:eastAsia="es-ES"/>
          <w14:ligatures w14:val="none"/>
        </w:rPr>
        <w:t xml:space="preserve"> cells. Tumor growth was monitored twice a week by intravital imaging using an IVIS Optica Imaging system (Perkin Elmer) after anesthetizing mice with Isoflurane. For IVIS analyses, animals were previously injected i.p. with 150 mg/kg D-Luciferin (Xenolight, #122799).</w:t>
      </w:r>
    </w:p>
    <w:p w14:paraId="5E301505"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r w:rsidRPr="00A925E0">
        <w:rPr>
          <w:rFonts w:ascii="Times New Roman" w:eastAsia="Times New Roman" w:hAnsi="Times New Roman" w:cs="Times New Roman"/>
          <w:b/>
          <w:bCs/>
          <w:kern w:val="0"/>
          <w:sz w:val="27"/>
          <w:szCs w:val="27"/>
          <w:lang w:eastAsia="es-ES"/>
          <w14:ligatures w14:val="none"/>
        </w:rPr>
        <w:t>Statistics</w:t>
      </w:r>
    </w:p>
    <w:p w14:paraId="75A33C27"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All statistical analyses were performed using Prism software (GraphPad Software) and statistical significance was determined where the </w:t>
      </w:r>
      <w:r w:rsidRPr="00A925E0">
        <w:rPr>
          <w:rFonts w:ascii="Times New Roman" w:eastAsia="Times New Roman" w:hAnsi="Times New Roman" w:cs="Times New Roman"/>
          <w:i/>
          <w:iCs/>
          <w:kern w:val="0"/>
          <w:sz w:val="24"/>
          <w:szCs w:val="24"/>
          <w:lang w:eastAsia="es-ES"/>
          <w14:ligatures w14:val="none"/>
        </w:rPr>
        <w:t>p</w:t>
      </w:r>
      <w:r w:rsidRPr="00A925E0">
        <w:rPr>
          <w:rFonts w:ascii="Times New Roman" w:eastAsia="Times New Roman" w:hAnsi="Times New Roman" w:cs="Times New Roman"/>
          <w:kern w:val="0"/>
          <w:sz w:val="24"/>
          <w:szCs w:val="24"/>
          <w:lang w:eastAsia="es-ES"/>
          <w14:ligatures w14:val="none"/>
        </w:rPr>
        <w:t>-value was &lt;0.05 (</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&lt;0.01 (</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&lt;0.001 (</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and &lt;0.0001 (</w:t>
      </w:r>
      <w:r w:rsidRPr="00A925E0">
        <w:rPr>
          <w:rFonts w:ascii="Times New Roman" w:eastAsia="Times New Roman" w:hAnsi="Times New Roman" w:cs="Times New Roman"/>
          <w:kern w:val="0"/>
          <w:sz w:val="24"/>
          <w:szCs w:val="24"/>
          <w:vertAlign w:val="superscript"/>
          <w:lang w:eastAsia="es-ES"/>
          <w14:ligatures w14:val="none"/>
        </w:rPr>
        <w:t>****</w:t>
      </w:r>
      <w:r w:rsidRPr="00A925E0">
        <w:rPr>
          <w:rFonts w:ascii="Times New Roman" w:eastAsia="Times New Roman" w:hAnsi="Times New Roman" w:cs="Times New Roman"/>
          <w:kern w:val="0"/>
          <w:sz w:val="24"/>
          <w:szCs w:val="24"/>
          <w:lang w:eastAsia="es-ES"/>
          <w14:ligatures w14:val="none"/>
        </w:rPr>
        <w:t>). Survival data was evaluated using Kaplan-Meier analyses.</w:t>
      </w:r>
    </w:p>
    <w:p w14:paraId="12478E1F"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Extended Methods for this manuscript can be found in the </w:t>
      </w:r>
      <w:hyperlink r:id="rId89" w:anchor="SD1" w:history="1">
        <w:r w:rsidRPr="00A925E0">
          <w:rPr>
            <w:rFonts w:ascii="Times New Roman" w:eastAsia="Times New Roman" w:hAnsi="Times New Roman" w:cs="Times New Roman"/>
            <w:color w:val="0000FF"/>
            <w:kern w:val="0"/>
            <w:sz w:val="24"/>
            <w:szCs w:val="24"/>
            <w:u w:val="single"/>
            <w:lang w:eastAsia="es-ES"/>
            <w14:ligatures w14:val="none"/>
          </w:rPr>
          <w:t>Supplementary Materials</w:t>
        </w:r>
      </w:hyperlink>
      <w:r w:rsidRPr="00A925E0">
        <w:rPr>
          <w:rFonts w:ascii="Times New Roman" w:eastAsia="Times New Roman" w:hAnsi="Times New Roman" w:cs="Times New Roman"/>
          <w:kern w:val="0"/>
          <w:sz w:val="24"/>
          <w:szCs w:val="24"/>
          <w:lang w:eastAsia="es-ES"/>
          <w14:ligatures w14:val="none"/>
        </w:rPr>
        <w:t>.</w:t>
      </w:r>
    </w:p>
    <w:p w14:paraId="5E23E8BE" w14:textId="77777777" w:rsidR="00A925E0" w:rsidRPr="00A925E0" w:rsidRDefault="00A925E0" w:rsidP="00A925E0">
      <w:pPr>
        <w:spacing w:before="100" w:beforeAutospacing="1" w:after="100" w:afterAutospacing="1" w:line="240" w:lineRule="auto"/>
        <w:outlineLvl w:val="1"/>
        <w:rPr>
          <w:rFonts w:ascii="Times New Roman" w:eastAsia="Times New Roman" w:hAnsi="Times New Roman" w:cs="Times New Roman"/>
          <w:b/>
          <w:bCs/>
          <w:kern w:val="0"/>
          <w:sz w:val="36"/>
          <w:szCs w:val="36"/>
          <w:lang w:eastAsia="es-ES"/>
          <w14:ligatures w14:val="none"/>
        </w:rPr>
      </w:pPr>
      <w:r w:rsidRPr="00A925E0">
        <w:rPr>
          <w:rFonts w:ascii="Times New Roman" w:eastAsia="Times New Roman" w:hAnsi="Times New Roman" w:cs="Times New Roman"/>
          <w:b/>
          <w:bCs/>
          <w:kern w:val="0"/>
          <w:sz w:val="36"/>
          <w:szCs w:val="36"/>
          <w:lang w:eastAsia="es-ES"/>
          <w14:ligatures w14:val="none"/>
        </w:rPr>
        <w:t>Supplementary Materials</w:t>
      </w:r>
    </w:p>
    <w:p w14:paraId="22A4A4AE"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hyperlink r:id="rId90" w:history="1">
        <w:r w:rsidRPr="00A925E0">
          <w:rPr>
            <w:rFonts w:ascii="Times New Roman" w:eastAsia="Times New Roman" w:hAnsi="Times New Roman" w:cs="Times New Roman"/>
            <w:b/>
            <w:bCs/>
            <w:color w:val="0000FF"/>
            <w:kern w:val="0"/>
            <w:sz w:val="27"/>
            <w:szCs w:val="27"/>
            <w:u w:val="single"/>
            <w:lang w:eastAsia="es-ES"/>
            <w14:ligatures w14:val="none"/>
          </w:rPr>
          <w:t xml:space="preserve">Supplementary Materials </w:t>
        </w:r>
      </w:hyperlink>
    </w:p>
    <w:p w14:paraId="214E7104"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hyperlink r:id="rId91" w:history="1">
        <w:r w:rsidRPr="00A925E0">
          <w:rPr>
            <w:rFonts w:ascii="Times New Roman" w:eastAsia="Times New Roman" w:hAnsi="Times New Roman" w:cs="Times New Roman"/>
            <w:b/>
            <w:bCs/>
            <w:color w:val="0000FF"/>
            <w:kern w:val="0"/>
            <w:sz w:val="27"/>
            <w:szCs w:val="27"/>
            <w:u w:val="single"/>
            <w:lang w:eastAsia="es-ES"/>
            <w14:ligatures w14:val="none"/>
          </w:rPr>
          <w:t xml:space="preserve">Supplementary Figures </w:t>
        </w:r>
      </w:hyperlink>
    </w:p>
    <w:p w14:paraId="59527D12" w14:textId="77777777" w:rsidR="00A925E0" w:rsidRPr="00A925E0" w:rsidRDefault="00A925E0" w:rsidP="00A925E0">
      <w:pPr>
        <w:spacing w:before="100" w:beforeAutospacing="1" w:after="100" w:afterAutospacing="1" w:line="240" w:lineRule="auto"/>
        <w:outlineLvl w:val="1"/>
        <w:rPr>
          <w:rFonts w:ascii="Times New Roman" w:eastAsia="Times New Roman" w:hAnsi="Times New Roman" w:cs="Times New Roman"/>
          <w:b/>
          <w:bCs/>
          <w:kern w:val="0"/>
          <w:sz w:val="36"/>
          <w:szCs w:val="36"/>
          <w:lang w:eastAsia="es-ES"/>
          <w14:ligatures w14:val="none"/>
        </w:rPr>
      </w:pPr>
      <w:r w:rsidRPr="00A925E0">
        <w:rPr>
          <w:rFonts w:ascii="Times New Roman" w:eastAsia="Times New Roman" w:hAnsi="Times New Roman" w:cs="Times New Roman"/>
          <w:b/>
          <w:bCs/>
          <w:kern w:val="0"/>
          <w:sz w:val="36"/>
          <w:szCs w:val="36"/>
          <w:lang w:eastAsia="es-ES"/>
          <w14:ligatures w14:val="none"/>
        </w:rPr>
        <w:t>Author Contributions</w:t>
      </w:r>
    </w:p>
    <w:p w14:paraId="4C94F47A"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E.F. contributed to most of the experiments; C.F. and F.A.-S. helped with bioinformatic analyses of scRNAseq data; G.L.-P. helped with </w:t>
      </w:r>
      <w:r w:rsidRPr="00A925E0">
        <w:rPr>
          <w:rFonts w:ascii="Times New Roman" w:eastAsia="Times New Roman" w:hAnsi="Times New Roman" w:cs="Times New Roman"/>
          <w:i/>
          <w:iCs/>
          <w:kern w:val="0"/>
          <w:sz w:val="24"/>
          <w:szCs w:val="24"/>
          <w:lang w:eastAsia="es-ES"/>
          <w14:ligatures w14:val="none"/>
        </w:rPr>
        <w:t>in vivo</w:t>
      </w:r>
      <w:r w:rsidRPr="00A925E0">
        <w:rPr>
          <w:rFonts w:ascii="Times New Roman" w:eastAsia="Times New Roman" w:hAnsi="Times New Roman" w:cs="Times New Roman"/>
          <w:kern w:val="0"/>
          <w:sz w:val="24"/>
          <w:szCs w:val="24"/>
          <w:lang w:eastAsia="es-ES"/>
          <w14:ligatures w14:val="none"/>
        </w:rPr>
        <w:t xml:space="preserve"> experiments and IHC analyses; M.A. provided technical help; O.F. helped to supervise the work and to write the manuscript; M.M. coordinated the study, contributed to experiments and helped with manuscript writing.</w:t>
      </w:r>
    </w:p>
    <w:p w14:paraId="0973DD77" w14:textId="77777777" w:rsidR="00A925E0" w:rsidRPr="00A925E0" w:rsidRDefault="00A925E0" w:rsidP="00A925E0">
      <w:pPr>
        <w:spacing w:before="100" w:beforeAutospacing="1" w:after="100" w:afterAutospacing="1" w:line="240" w:lineRule="auto"/>
        <w:outlineLvl w:val="1"/>
        <w:rPr>
          <w:rFonts w:ascii="Times New Roman" w:eastAsia="Times New Roman" w:hAnsi="Times New Roman" w:cs="Times New Roman"/>
          <w:b/>
          <w:bCs/>
          <w:kern w:val="0"/>
          <w:sz w:val="36"/>
          <w:szCs w:val="36"/>
          <w:lang w:eastAsia="es-ES"/>
          <w14:ligatures w14:val="none"/>
        </w:rPr>
      </w:pPr>
      <w:r w:rsidRPr="00A925E0">
        <w:rPr>
          <w:rFonts w:ascii="Times New Roman" w:eastAsia="Times New Roman" w:hAnsi="Times New Roman" w:cs="Times New Roman"/>
          <w:b/>
          <w:bCs/>
          <w:kern w:val="0"/>
          <w:sz w:val="36"/>
          <w:szCs w:val="36"/>
          <w:lang w:eastAsia="es-ES"/>
          <w14:ligatures w14:val="none"/>
        </w:rPr>
        <w:t>Conflicts of Interest</w:t>
      </w:r>
    </w:p>
    <w:p w14:paraId="3D03DC59"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The authors declare no conflicts of interest related to this study.</w:t>
      </w:r>
    </w:p>
    <w:p w14:paraId="58290C0F" w14:textId="77777777" w:rsidR="00A925E0" w:rsidRPr="00A925E0" w:rsidRDefault="00A925E0" w:rsidP="00A925E0">
      <w:pPr>
        <w:spacing w:before="100" w:beforeAutospacing="1" w:after="100" w:afterAutospacing="1" w:line="240" w:lineRule="auto"/>
        <w:outlineLvl w:val="1"/>
        <w:rPr>
          <w:rFonts w:ascii="Times New Roman" w:eastAsia="Times New Roman" w:hAnsi="Times New Roman" w:cs="Times New Roman"/>
          <w:b/>
          <w:bCs/>
          <w:kern w:val="0"/>
          <w:sz w:val="36"/>
          <w:szCs w:val="36"/>
          <w:lang w:eastAsia="es-ES"/>
          <w14:ligatures w14:val="none"/>
        </w:rPr>
      </w:pPr>
      <w:r w:rsidRPr="00A925E0">
        <w:rPr>
          <w:rFonts w:ascii="Times New Roman" w:eastAsia="Times New Roman" w:hAnsi="Times New Roman" w:cs="Times New Roman"/>
          <w:b/>
          <w:bCs/>
          <w:kern w:val="0"/>
          <w:sz w:val="36"/>
          <w:szCs w:val="36"/>
          <w:lang w:eastAsia="es-ES"/>
          <w14:ligatures w14:val="none"/>
        </w:rPr>
        <w:t>Ethical Statement</w:t>
      </w:r>
    </w:p>
    <w:p w14:paraId="39C09176"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Mice were maintained in a mixed C57BL/6-Sv background under standard housing conditions with free access to chow diet and water, as recommended by the Federation of European Laboratory Animal Science Association. All mice work was performed in accordance with the Guidelines for Humane Endpoints for Animals Used in Biomedical Research, and under the supervision of the Ethics Committee for Animal Research of the “Instituto de Salud Carlos III”, following the procedures detailed in the approved ethics protocol (PROEX 264/19).</w:t>
      </w:r>
    </w:p>
    <w:p w14:paraId="2B9938EE" w14:textId="77777777" w:rsidR="00A925E0" w:rsidRPr="00A925E0" w:rsidRDefault="00A925E0" w:rsidP="00A925E0">
      <w:pPr>
        <w:spacing w:before="100" w:beforeAutospacing="1" w:after="100" w:afterAutospacing="1" w:line="240" w:lineRule="auto"/>
        <w:outlineLvl w:val="1"/>
        <w:rPr>
          <w:rFonts w:ascii="Times New Roman" w:eastAsia="Times New Roman" w:hAnsi="Times New Roman" w:cs="Times New Roman"/>
          <w:b/>
          <w:bCs/>
          <w:kern w:val="0"/>
          <w:sz w:val="36"/>
          <w:szCs w:val="36"/>
          <w:lang w:eastAsia="es-ES"/>
          <w14:ligatures w14:val="none"/>
        </w:rPr>
      </w:pPr>
      <w:r w:rsidRPr="00A925E0">
        <w:rPr>
          <w:rFonts w:ascii="Times New Roman" w:eastAsia="Times New Roman" w:hAnsi="Times New Roman" w:cs="Times New Roman"/>
          <w:b/>
          <w:bCs/>
          <w:kern w:val="0"/>
          <w:sz w:val="36"/>
          <w:szCs w:val="36"/>
          <w:lang w:eastAsia="es-ES"/>
          <w14:ligatures w14:val="none"/>
        </w:rPr>
        <w:lastRenderedPageBreak/>
        <w:t>Funding</w:t>
      </w:r>
    </w:p>
    <w:p w14:paraId="3029CCDE" w14:textId="77777777" w:rsidR="00A925E0" w:rsidRPr="00A925E0" w:rsidRDefault="00A925E0" w:rsidP="00A925E0">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O.F-C. is supported by grants from the Spanish Ministry of Science, Innovation and Universities (PID2021-128722OB-I00, co-financed with European FEDER funds) and the Spanish Association Against Cancer (AECC; PROYE20101FERN) to O.F-C. and by a Ph.D. fellowship from María Oliva-Amigos/as del CNIO to E.F-M. The CNIO Bioinformatics Unit (BU) is a member of the Spanish National Bioinformatics Institute (INB), ISCIII- Bioinformatics platform and is supported by grant PT17/0009/0011, of the Acción Estratégica en Salud 2013–2016 of the Programa Estatal de Investigación Orientada a los Retos de la Sociedad, funded by the ISCIII and European Regional Development Fund (ERDF-EU) and project RETOS RTI2018-097596-B-I00 funded by AEI-MCIU and cofounded by the ERDF-EU. The authors declare no competing financial interests.</w:t>
      </w:r>
    </w:p>
    <w:p w14:paraId="4EA52249" w14:textId="77777777" w:rsidR="00A925E0" w:rsidRPr="00A925E0" w:rsidRDefault="00A925E0" w:rsidP="00A925E0">
      <w:pPr>
        <w:spacing w:before="100" w:beforeAutospacing="1" w:after="100" w:afterAutospacing="1" w:line="240" w:lineRule="auto"/>
        <w:outlineLvl w:val="1"/>
        <w:rPr>
          <w:rFonts w:ascii="Times New Roman" w:eastAsia="Times New Roman" w:hAnsi="Times New Roman" w:cs="Times New Roman"/>
          <w:b/>
          <w:bCs/>
          <w:kern w:val="0"/>
          <w:sz w:val="36"/>
          <w:szCs w:val="36"/>
          <w:lang w:eastAsia="es-ES"/>
          <w14:ligatures w14:val="none"/>
        </w:rPr>
      </w:pPr>
      <w:r w:rsidRPr="00A925E0">
        <w:rPr>
          <w:rFonts w:ascii="Times New Roman" w:eastAsia="Times New Roman" w:hAnsi="Times New Roman" w:cs="Times New Roman"/>
          <w:b/>
          <w:bCs/>
          <w:kern w:val="0"/>
          <w:sz w:val="36"/>
          <w:szCs w:val="36"/>
          <w:lang w:eastAsia="es-ES"/>
          <w14:ligatures w14:val="none"/>
        </w:rPr>
        <w:t>References</w:t>
      </w:r>
    </w:p>
    <w:p w14:paraId="302128DB"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w:t>
      </w:r>
      <w:r w:rsidRPr="00A925E0">
        <w:rPr>
          <w:rFonts w:ascii="Times New Roman" w:eastAsia="Times New Roman" w:hAnsi="Times New Roman" w:cs="Times New Roman"/>
          <w:kern w:val="0"/>
          <w:sz w:val="24"/>
          <w:szCs w:val="24"/>
          <w:lang w:eastAsia="es-ES"/>
          <w14:ligatures w14:val="none"/>
        </w:rPr>
        <w:t xml:space="preserve"> Smith-Garvin JE, Koretzky GA, Jordan MS. T cell activation. Annu Rev Immunol. 2009; 27:591–619. </w:t>
      </w:r>
      <w:hyperlink r:id="rId92" w:history="1">
        <w:r w:rsidRPr="00A925E0">
          <w:rPr>
            <w:rFonts w:ascii="Times New Roman" w:eastAsia="Times New Roman" w:hAnsi="Times New Roman" w:cs="Times New Roman"/>
            <w:color w:val="0000FF"/>
            <w:kern w:val="0"/>
            <w:sz w:val="24"/>
            <w:szCs w:val="24"/>
            <w:u w:val="single"/>
            <w:lang w:eastAsia="es-ES"/>
            <w14:ligatures w14:val="none"/>
          </w:rPr>
          <w:t>https://doi.org/10.1146/annurev.immunol.021908.132706</w:t>
        </w:r>
      </w:hyperlink>
      <w:r w:rsidRPr="00A925E0">
        <w:rPr>
          <w:rFonts w:ascii="Times New Roman" w:eastAsia="Times New Roman" w:hAnsi="Times New Roman" w:cs="Times New Roman"/>
          <w:kern w:val="0"/>
          <w:sz w:val="24"/>
          <w:szCs w:val="24"/>
          <w:lang w:eastAsia="es-ES"/>
          <w14:ligatures w14:val="none"/>
        </w:rPr>
        <w:t xml:space="preserve"> [</w:t>
      </w:r>
      <w:hyperlink r:id="rId93"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03292757"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2.</w:t>
      </w:r>
      <w:r w:rsidRPr="00A925E0">
        <w:rPr>
          <w:rFonts w:ascii="Times New Roman" w:eastAsia="Times New Roman" w:hAnsi="Times New Roman" w:cs="Times New Roman"/>
          <w:kern w:val="0"/>
          <w:sz w:val="24"/>
          <w:szCs w:val="24"/>
          <w:lang w:eastAsia="es-ES"/>
          <w14:ligatures w14:val="none"/>
        </w:rPr>
        <w:t xml:space="preserve"> Kroemer G, Zitvogel L. Immune checkpoint inhibitors. J Exp Med. 2021; 218:e20201979. </w:t>
      </w:r>
      <w:hyperlink r:id="rId94" w:history="1">
        <w:r w:rsidRPr="00A925E0">
          <w:rPr>
            <w:rFonts w:ascii="Times New Roman" w:eastAsia="Times New Roman" w:hAnsi="Times New Roman" w:cs="Times New Roman"/>
            <w:color w:val="0000FF"/>
            <w:kern w:val="0"/>
            <w:sz w:val="24"/>
            <w:szCs w:val="24"/>
            <w:u w:val="single"/>
            <w:lang w:eastAsia="es-ES"/>
            <w14:ligatures w14:val="none"/>
          </w:rPr>
          <w:t>https://doi.org/10.1084/jem.20201979</w:t>
        </w:r>
      </w:hyperlink>
      <w:r w:rsidRPr="00A925E0">
        <w:rPr>
          <w:rFonts w:ascii="Times New Roman" w:eastAsia="Times New Roman" w:hAnsi="Times New Roman" w:cs="Times New Roman"/>
          <w:kern w:val="0"/>
          <w:sz w:val="24"/>
          <w:szCs w:val="24"/>
          <w:lang w:eastAsia="es-ES"/>
          <w14:ligatures w14:val="none"/>
        </w:rPr>
        <w:t xml:space="preserve"> [</w:t>
      </w:r>
      <w:hyperlink r:id="rId95"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5CD6D68C"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3.</w:t>
      </w:r>
      <w:r w:rsidRPr="00A925E0">
        <w:rPr>
          <w:rFonts w:ascii="Times New Roman" w:eastAsia="Times New Roman" w:hAnsi="Times New Roman" w:cs="Times New Roman"/>
          <w:kern w:val="0"/>
          <w:sz w:val="24"/>
          <w:szCs w:val="24"/>
          <w:lang w:eastAsia="es-ES"/>
          <w14:ligatures w14:val="none"/>
        </w:rPr>
        <w:t xml:space="preserve"> Gong J, Chehrazi-Raffle A, Reddi S, Salgia R. Development of PD-1 and PD-L1 inhibitors as a form of cancer immunotherapy: a comprehensive review of registration trials and future considerations. J Immunother Cancer. 2018; 6:8. </w:t>
      </w:r>
      <w:hyperlink r:id="rId96" w:history="1">
        <w:r w:rsidRPr="00A925E0">
          <w:rPr>
            <w:rFonts w:ascii="Times New Roman" w:eastAsia="Times New Roman" w:hAnsi="Times New Roman" w:cs="Times New Roman"/>
            <w:color w:val="0000FF"/>
            <w:kern w:val="0"/>
            <w:sz w:val="24"/>
            <w:szCs w:val="24"/>
            <w:u w:val="single"/>
            <w:lang w:eastAsia="es-ES"/>
            <w14:ligatures w14:val="none"/>
          </w:rPr>
          <w:t>https://doi.org/10.1186/s40425-018-0316-z</w:t>
        </w:r>
      </w:hyperlink>
      <w:r w:rsidRPr="00A925E0">
        <w:rPr>
          <w:rFonts w:ascii="Times New Roman" w:eastAsia="Times New Roman" w:hAnsi="Times New Roman" w:cs="Times New Roman"/>
          <w:kern w:val="0"/>
          <w:sz w:val="24"/>
          <w:szCs w:val="24"/>
          <w:lang w:eastAsia="es-ES"/>
          <w14:ligatures w14:val="none"/>
        </w:rPr>
        <w:t xml:space="preserve"> [</w:t>
      </w:r>
      <w:hyperlink r:id="rId97"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38F19D91"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4.</w:t>
      </w:r>
      <w:r w:rsidRPr="00A925E0">
        <w:rPr>
          <w:rFonts w:ascii="Times New Roman" w:eastAsia="Times New Roman" w:hAnsi="Times New Roman" w:cs="Times New Roman"/>
          <w:kern w:val="0"/>
          <w:sz w:val="24"/>
          <w:szCs w:val="24"/>
          <w:lang w:eastAsia="es-ES"/>
          <w14:ligatures w14:val="none"/>
        </w:rPr>
        <w:t xml:space="preserve"> Sun C, Mezzadra R, Schumacher TN. Regulation and Function of the PD-L1 Checkpoint. Immunity. 2018; 48:434–52. </w:t>
      </w:r>
      <w:hyperlink r:id="rId98" w:history="1">
        <w:r w:rsidRPr="00A925E0">
          <w:rPr>
            <w:rFonts w:ascii="Times New Roman" w:eastAsia="Times New Roman" w:hAnsi="Times New Roman" w:cs="Times New Roman"/>
            <w:color w:val="0000FF"/>
            <w:kern w:val="0"/>
            <w:sz w:val="24"/>
            <w:szCs w:val="24"/>
            <w:u w:val="single"/>
            <w:lang w:eastAsia="es-ES"/>
            <w14:ligatures w14:val="none"/>
          </w:rPr>
          <w:t>https://doi.org/10.1016/j.immuni.2018.03.014</w:t>
        </w:r>
      </w:hyperlink>
      <w:r w:rsidRPr="00A925E0">
        <w:rPr>
          <w:rFonts w:ascii="Times New Roman" w:eastAsia="Times New Roman" w:hAnsi="Times New Roman" w:cs="Times New Roman"/>
          <w:kern w:val="0"/>
          <w:sz w:val="24"/>
          <w:szCs w:val="24"/>
          <w:lang w:eastAsia="es-ES"/>
          <w14:ligatures w14:val="none"/>
        </w:rPr>
        <w:t xml:space="preserve"> [</w:t>
      </w:r>
      <w:hyperlink r:id="rId99"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283692F4"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5.</w:t>
      </w:r>
      <w:r w:rsidRPr="00A925E0">
        <w:rPr>
          <w:rFonts w:ascii="Times New Roman" w:eastAsia="Times New Roman" w:hAnsi="Times New Roman" w:cs="Times New Roman"/>
          <w:kern w:val="0"/>
          <w:sz w:val="24"/>
          <w:szCs w:val="24"/>
          <w:lang w:eastAsia="es-ES"/>
          <w14:ligatures w14:val="none"/>
        </w:rPr>
        <w:t xml:space="preserve"> Garon EB, Hellmann MD, Rizvi NA, Carcereny E, Leighl NB, Ahn MJ, Eder JP, Balmanoukian AS, Aggarwal C, Horn L, Patnaik A, Gubens M, Ramalingam SS, et al. Five-Year Overall Survival for Patients With Advanced Non-Small-Cell Lung Cancer Treated With Pembrolizumab: Results From the Phase I KEYNOTE-001 Study. J Clin Oncol. 2019; 37:2518–27. </w:t>
      </w:r>
      <w:hyperlink r:id="rId100" w:history="1">
        <w:r w:rsidRPr="00A925E0">
          <w:rPr>
            <w:rFonts w:ascii="Times New Roman" w:eastAsia="Times New Roman" w:hAnsi="Times New Roman" w:cs="Times New Roman"/>
            <w:color w:val="0000FF"/>
            <w:kern w:val="0"/>
            <w:sz w:val="24"/>
            <w:szCs w:val="24"/>
            <w:u w:val="single"/>
            <w:lang w:eastAsia="es-ES"/>
            <w14:ligatures w14:val="none"/>
          </w:rPr>
          <w:t>https://doi.org/10.1200/JCO.19.00934</w:t>
        </w:r>
      </w:hyperlink>
      <w:r w:rsidRPr="00A925E0">
        <w:rPr>
          <w:rFonts w:ascii="Times New Roman" w:eastAsia="Times New Roman" w:hAnsi="Times New Roman" w:cs="Times New Roman"/>
          <w:kern w:val="0"/>
          <w:sz w:val="24"/>
          <w:szCs w:val="24"/>
          <w:lang w:eastAsia="es-ES"/>
          <w14:ligatures w14:val="none"/>
        </w:rPr>
        <w:t xml:space="preserve"> [</w:t>
      </w:r>
      <w:hyperlink r:id="rId101"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50B054DC"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6.</w:t>
      </w:r>
      <w:r w:rsidRPr="00A925E0">
        <w:rPr>
          <w:rFonts w:ascii="Times New Roman" w:eastAsia="Times New Roman" w:hAnsi="Times New Roman" w:cs="Times New Roman"/>
          <w:kern w:val="0"/>
          <w:sz w:val="24"/>
          <w:szCs w:val="24"/>
          <w:lang w:eastAsia="es-ES"/>
          <w14:ligatures w14:val="none"/>
        </w:rPr>
        <w:t xml:space="preserve"> Hamid O, Robert C, Daud A, Hodi FS, Hwu WJ, Kefford R, Wolchok JD, Hersey P, Joseph R, Weber JS, Dronca R, Mitchell TC, Patnaik A, et al. Five-year survival outcomes for patients with advanced melanoma treated with pembrolizumab in KEYNOTE-001. Ann Oncol. 2019; 30:582–8. </w:t>
      </w:r>
      <w:hyperlink r:id="rId102" w:history="1">
        <w:r w:rsidRPr="00A925E0">
          <w:rPr>
            <w:rFonts w:ascii="Times New Roman" w:eastAsia="Times New Roman" w:hAnsi="Times New Roman" w:cs="Times New Roman"/>
            <w:color w:val="0000FF"/>
            <w:kern w:val="0"/>
            <w:sz w:val="24"/>
            <w:szCs w:val="24"/>
            <w:u w:val="single"/>
            <w:lang w:eastAsia="es-ES"/>
            <w14:ligatures w14:val="none"/>
          </w:rPr>
          <w:t>https://doi.org/10.1093/annonc/mdz011</w:t>
        </w:r>
      </w:hyperlink>
      <w:r w:rsidRPr="00A925E0">
        <w:rPr>
          <w:rFonts w:ascii="Times New Roman" w:eastAsia="Times New Roman" w:hAnsi="Times New Roman" w:cs="Times New Roman"/>
          <w:kern w:val="0"/>
          <w:sz w:val="24"/>
          <w:szCs w:val="24"/>
          <w:lang w:eastAsia="es-ES"/>
          <w14:ligatures w14:val="none"/>
        </w:rPr>
        <w:t xml:space="preserve"> [</w:t>
      </w:r>
      <w:hyperlink r:id="rId103"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17B45AEF"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7.</w:t>
      </w:r>
      <w:r w:rsidRPr="00A925E0">
        <w:rPr>
          <w:rFonts w:ascii="Times New Roman" w:eastAsia="Times New Roman" w:hAnsi="Times New Roman" w:cs="Times New Roman"/>
          <w:kern w:val="0"/>
          <w:sz w:val="24"/>
          <w:szCs w:val="24"/>
          <w:lang w:eastAsia="es-ES"/>
          <w14:ligatures w14:val="none"/>
        </w:rPr>
        <w:t xml:space="preserve"> Sharma P, Hu-Lieskovan S, Wargo JA, Ribas A. Primary, Adaptive, and Acquired Resistance to Cancer Immunotherapy. Cell. 2017; 168:707–23. </w:t>
      </w:r>
      <w:hyperlink r:id="rId104" w:history="1">
        <w:r w:rsidRPr="00A925E0">
          <w:rPr>
            <w:rFonts w:ascii="Times New Roman" w:eastAsia="Times New Roman" w:hAnsi="Times New Roman" w:cs="Times New Roman"/>
            <w:color w:val="0000FF"/>
            <w:kern w:val="0"/>
            <w:sz w:val="24"/>
            <w:szCs w:val="24"/>
            <w:u w:val="single"/>
            <w:lang w:eastAsia="es-ES"/>
            <w14:ligatures w14:val="none"/>
          </w:rPr>
          <w:t>https://doi.org/10.1016/j.cell.2017.01.017</w:t>
        </w:r>
      </w:hyperlink>
      <w:r w:rsidRPr="00A925E0">
        <w:rPr>
          <w:rFonts w:ascii="Times New Roman" w:eastAsia="Times New Roman" w:hAnsi="Times New Roman" w:cs="Times New Roman"/>
          <w:kern w:val="0"/>
          <w:sz w:val="24"/>
          <w:szCs w:val="24"/>
          <w:lang w:eastAsia="es-ES"/>
          <w14:ligatures w14:val="none"/>
        </w:rPr>
        <w:t xml:space="preserve"> [</w:t>
      </w:r>
      <w:hyperlink r:id="rId105"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7D114296"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8.</w:t>
      </w:r>
      <w:r w:rsidRPr="00A925E0">
        <w:rPr>
          <w:rFonts w:ascii="Times New Roman" w:eastAsia="Times New Roman" w:hAnsi="Times New Roman" w:cs="Times New Roman"/>
          <w:kern w:val="0"/>
          <w:sz w:val="24"/>
          <w:szCs w:val="24"/>
          <w:lang w:eastAsia="es-ES"/>
          <w14:ligatures w14:val="none"/>
        </w:rPr>
        <w:t xml:space="preserve"> Qin L, Zhao R, Chen D, Wei X, Wu Q, Long Y, Jiang Z, Li Y, Wu H, Zhang X, Wu Y, Cui S, Wei W, et al. Chimeric antigen receptor T cells targeting PD-L1 suppress tumor growth. Biomark Res. 2020; 8:19. </w:t>
      </w:r>
      <w:hyperlink r:id="rId106" w:history="1">
        <w:r w:rsidRPr="00A925E0">
          <w:rPr>
            <w:rFonts w:ascii="Times New Roman" w:eastAsia="Times New Roman" w:hAnsi="Times New Roman" w:cs="Times New Roman"/>
            <w:color w:val="0000FF"/>
            <w:kern w:val="0"/>
            <w:sz w:val="24"/>
            <w:szCs w:val="24"/>
            <w:u w:val="single"/>
            <w:lang w:eastAsia="es-ES"/>
            <w14:ligatures w14:val="none"/>
          </w:rPr>
          <w:t>https://doi.org/10.1186/s40364-020-00198-0</w:t>
        </w:r>
      </w:hyperlink>
      <w:r w:rsidRPr="00A925E0">
        <w:rPr>
          <w:rFonts w:ascii="Times New Roman" w:eastAsia="Times New Roman" w:hAnsi="Times New Roman" w:cs="Times New Roman"/>
          <w:kern w:val="0"/>
          <w:sz w:val="24"/>
          <w:szCs w:val="24"/>
          <w:lang w:eastAsia="es-ES"/>
          <w14:ligatures w14:val="none"/>
        </w:rPr>
        <w:t xml:space="preserve"> [</w:t>
      </w:r>
      <w:hyperlink r:id="rId107"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1A346470"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9.</w:t>
      </w:r>
      <w:r w:rsidRPr="00A925E0">
        <w:rPr>
          <w:rFonts w:ascii="Times New Roman" w:eastAsia="Times New Roman" w:hAnsi="Times New Roman" w:cs="Times New Roman"/>
          <w:kern w:val="0"/>
          <w:sz w:val="24"/>
          <w:szCs w:val="24"/>
          <w:lang w:eastAsia="es-ES"/>
          <w14:ligatures w14:val="none"/>
        </w:rPr>
        <w:t xml:space="preserve"> Xie YJ, Dougan M, Jailkhani N, Ingram J, Fang T, Kummer L, Momin N, Pishesha N, Rickelt S, Hynes RO, Ploegh H. Nanobody-based CAR T cells that target the tumor microenvironment inhibit the growth of solid tumors in </w:t>
      </w:r>
      <w:r w:rsidRPr="00A925E0">
        <w:rPr>
          <w:rFonts w:ascii="Times New Roman" w:eastAsia="Times New Roman" w:hAnsi="Times New Roman" w:cs="Times New Roman"/>
          <w:kern w:val="0"/>
          <w:sz w:val="24"/>
          <w:szCs w:val="24"/>
          <w:lang w:eastAsia="es-ES"/>
          <w14:ligatures w14:val="none"/>
        </w:rPr>
        <w:lastRenderedPageBreak/>
        <w:t xml:space="preserve">immunocompetent mice. Proc Natl Acad Sci U S A. 2019; 116:7624–31. </w:t>
      </w:r>
      <w:hyperlink r:id="rId108" w:history="1">
        <w:r w:rsidRPr="00A925E0">
          <w:rPr>
            <w:rFonts w:ascii="Times New Roman" w:eastAsia="Times New Roman" w:hAnsi="Times New Roman" w:cs="Times New Roman"/>
            <w:color w:val="0000FF"/>
            <w:kern w:val="0"/>
            <w:sz w:val="24"/>
            <w:szCs w:val="24"/>
            <w:u w:val="single"/>
            <w:lang w:eastAsia="es-ES"/>
            <w14:ligatures w14:val="none"/>
          </w:rPr>
          <w:t>https://doi.org/10.1073/pnas.1817147116</w:t>
        </w:r>
      </w:hyperlink>
      <w:r w:rsidRPr="00A925E0">
        <w:rPr>
          <w:rFonts w:ascii="Times New Roman" w:eastAsia="Times New Roman" w:hAnsi="Times New Roman" w:cs="Times New Roman"/>
          <w:kern w:val="0"/>
          <w:sz w:val="24"/>
          <w:szCs w:val="24"/>
          <w:lang w:eastAsia="es-ES"/>
          <w14:ligatures w14:val="none"/>
        </w:rPr>
        <w:t xml:space="preserve"> [</w:t>
      </w:r>
      <w:hyperlink r:id="rId109"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66FDDE8C"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10.</w:t>
      </w:r>
      <w:r w:rsidRPr="00A925E0">
        <w:rPr>
          <w:rFonts w:ascii="Times New Roman" w:eastAsia="Times New Roman" w:hAnsi="Times New Roman" w:cs="Times New Roman"/>
          <w:kern w:val="0"/>
          <w:sz w:val="24"/>
          <w:szCs w:val="24"/>
          <w:lang w:eastAsia="es-ES"/>
          <w14:ligatures w14:val="none"/>
        </w:rPr>
        <w:t xml:space="preserve"> Pajvani UB, Trujillo ME, Combs TP, Iyengar P, Jelicks L, Roth KA, Kitsis RN, Scherer PE. Fat apoptosis through targeted activation of caspase 8: a new mouse model of inducible and reversible lipoatrophy. Nat Med. 2005; 11:797–803. </w:t>
      </w:r>
      <w:hyperlink r:id="rId110" w:history="1">
        <w:r w:rsidRPr="00A925E0">
          <w:rPr>
            <w:rFonts w:ascii="Times New Roman" w:eastAsia="Times New Roman" w:hAnsi="Times New Roman" w:cs="Times New Roman"/>
            <w:color w:val="0000FF"/>
            <w:kern w:val="0"/>
            <w:sz w:val="24"/>
            <w:szCs w:val="24"/>
            <w:u w:val="single"/>
            <w:lang w:eastAsia="es-ES"/>
            <w14:ligatures w14:val="none"/>
          </w:rPr>
          <w:t>https://doi.org/10.1038/nm1262</w:t>
        </w:r>
      </w:hyperlink>
      <w:r w:rsidRPr="00A925E0">
        <w:rPr>
          <w:rFonts w:ascii="Times New Roman" w:eastAsia="Times New Roman" w:hAnsi="Times New Roman" w:cs="Times New Roman"/>
          <w:kern w:val="0"/>
          <w:sz w:val="24"/>
          <w:szCs w:val="24"/>
          <w:lang w:eastAsia="es-ES"/>
          <w14:ligatures w14:val="none"/>
        </w:rPr>
        <w:t xml:space="preserve"> [</w:t>
      </w:r>
      <w:hyperlink r:id="rId111"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344F941A"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11.</w:t>
      </w:r>
      <w:r w:rsidRPr="00A925E0">
        <w:rPr>
          <w:rFonts w:ascii="Times New Roman" w:eastAsia="Times New Roman" w:hAnsi="Times New Roman" w:cs="Times New Roman"/>
          <w:kern w:val="0"/>
          <w:sz w:val="24"/>
          <w:szCs w:val="24"/>
          <w:lang w:eastAsia="es-ES"/>
          <w14:ligatures w14:val="none"/>
        </w:rPr>
        <w:t xml:space="preserve"> Konermann S, Brigham MD, Trevino AE, Joung J, Abudayyeh OO, Barcena C, Hsu PD, Habib N, Gootenberg JS, Nishimasu H, Nureki O, Zhang F. Genome-scale transcriptional activation by an engineered CRISPR-Cas9 complex. Nature. 2015; 517:583–8. </w:t>
      </w:r>
      <w:hyperlink r:id="rId112" w:history="1">
        <w:r w:rsidRPr="00A925E0">
          <w:rPr>
            <w:rFonts w:ascii="Times New Roman" w:eastAsia="Times New Roman" w:hAnsi="Times New Roman" w:cs="Times New Roman"/>
            <w:color w:val="0000FF"/>
            <w:kern w:val="0"/>
            <w:sz w:val="24"/>
            <w:szCs w:val="24"/>
            <w:u w:val="single"/>
            <w:lang w:eastAsia="es-ES"/>
            <w14:ligatures w14:val="none"/>
          </w:rPr>
          <w:t>https://doi.org/10.1038/nature14136</w:t>
        </w:r>
      </w:hyperlink>
      <w:r w:rsidRPr="00A925E0">
        <w:rPr>
          <w:rFonts w:ascii="Times New Roman" w:eastAsia="Times New Roman" w:hAnsi="Times New Roman" w:cs="Times New Roman"/>
          <w:kern w:val="0"/>
          <w:sz w:val="24"/>
          <w:szCs w:val="24"/>
          <w:lang w:eastAsia="es-ES"/>
          <w14:ligatures w14:val="none"/>
        </w:rPr>
        <w:t xml:space="preserve"> [</w:t>
      </w:r>
      <w:hyperlink r:id="rId113"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6BF16ADB"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12.</w:t>
      </w:r>
      <w:r w:rsidRPr="00A925E0">
        <w:rPr>
          <w:rFonts w:ascii="Times New Roman" w:eastAsia="Times New Roman" w:hAnsi="Times New Roman" w:cs="Times New Roman"/>
          <w:kern w:val="0"/>
          <w:sz w:val="24"/>
          <w:szCs w:val="24"/>
          <w:lang w:eastAsia="es-ES"/>
          <w14:ligatures w14:val="none"/>
        </w:rPr>
        <w:t xml:space="preserve"> Kim J, Myers AC, Chen L, Pardoll DM, Truong-Tran QA, Lane AP, McDyer JF, Fortuno L, Schleimer RP. Constitutive and inducible expression of b7 family of ligands by human airway epithelial cells. Am J Respir Cell Mol Biol. 2005; 33:280–9. </w:t>
      </w:r>
      <w:hyperlink r:id="rId114" w:history="1">
        <w:r w:rsidRPr="00A925E0">
          <w:rPr>
            <w:rFonts w:ascii="Times New Roman" w:eastAsia="Times New Roman" w:hAnsi="Times New Roman" w:cs="Times New Roman"/>
            <w:color w:val="0000FF"/>
            <w:kern w:val="0"/>
            <w:sz w:val="24"/>
            <w:szCs w:val="24"/>
            <w:u w:val="single"/>
            <w:lang w:eastAsia="es-ES"/>
            <w14:ligatures w14:val="none"/>
          </w:rPr>
          <w:t>https://doi.org/10.1165/rcmb.2004-0129OC</w:t>
        </w:r>
      </w:hyperlink>
      <w:r w:rsidRPr="00A925E0">
        <w:rPr>
          <w:rFonts w:ascii="Times New Roman" w:eastAsia="Times New Roman" w:hAnsi="Times New Roman" w:cs="Times New Roman"/>
          <w:kern w:val="0"/>
          <w:sz w:val="24"/>
          <w:szCs w:val="24"/>
          <w:lang w:eastAsia="es-ES"/>
          <w14:ligatures w14:val="none"/>
        </w:rPr>
        <w:t xml:space="preserve"> [</w:t>
      </w:r>
      <w:hyperlink r:id="rId115"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279D435A"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13.</w:t>
      </w:r>
      <w:r w:rsidRPr="00A925E0">
        <w:rPr>
          <w:rFonts w:ascii="Times New Roman" w:eastAsia="Times New Roman" w:hAnsi="Times New Roman" w:cs="Times New Roman"/>
          <w:kern w:val="0"/>
          <w:sz w:val="24"/>
          <w:szCs w:val="24"/>
          <w:lang w:eastAsia="es-ES"/>
          <w14:ligatures w14:val="none"/>
        </w:rPr>
        <w:t xml:space="preserve"> Lee SK, Seo SH, Kim BS, Kim CD, Lee JH, Kang JS, Maeng PJ, Lim JS. IFN-gamma regulates the expression of B7-H1 in dermal fibroblast cells. J Dermatol Sci. 2005; 40:95–103. </w:t>
      </w:r>
      <w:hyperlink r:id="rId116" w:history="1">
        <w:r w:rsidRPr="00A925E0">
          <w:rPr>
            <w:rFonts w:ascii="Times New Roman" w:eastAsia="Times New Roman" w:hAnsi="Times New Roman" w:cs="Times New Roman"/>
            <w:color w:val="0000FF"/>
            <w:kern w:val="0"/>
            <w:sz w:val="24"/>
            <w:szCs w:val="24"/>
            <w:u w:val="single"/>
            <w:lang w:eastAsia="es-ES"/>
            <w14:ligatures w14:val="none"/>
          </w:rPr>
          <w:t>https://doi.org/10.1016/j.jdermsci.2005.06.008</w:t>
        </w:r>
      </w:hyperlink>
      <w:r w:rsidRPr="00A925E0">
        <w:rPr>
          <w:rFonts w:ascii="Times New Roman" w:eastAsia="Times New Roman" w:hAnsi="Times New Roman" w:cs="Times New Roman"/>
          <w:kern w:val="0"/>
          <w:sz w:val="24"/>
          <w:szCs w:val="24"/>
          <w:lang w:eastAsia="es-ES"/>
          <w14:ligatures w14:val="none"/>
        </w:rPr>
        <w:t xml:space="preserve"> [</w:t>
      </w:r>
      <w:hyperlink r:id="rId117"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572DADD5"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14.</w:t>
      </w:r>
      <w:r w:rsidRPr="00A925E0">
        <w:rPr>
          <w:rFonts w:ascii="Times New Roman" w:eastAsia="Times New Roman" w:hAnsi="Times New Roman" w:cs="Times New Roman"/>
          <w:kern w:val="0"/>
          <w:sz w:val="24"/>
          <w:szCs w:val="24"/>
          <w:lang w:eastAsia="es-ES"/>
          <w14:ligatures w14:val="none"/>
        </w:rPr>
        <w:t xml:space="preserve"> Baker DJ, Wijshake T, Tchkonia T, LeBrasseur NK, Childs BG, van de Sluis B, Kirkland JL, van Deursen JM. Clearance of p16Ink4a-positive senescent cells delays ageing-associated disorders. Nature. 2011; 479:232–6. </w:t>
      </w:r>
      <w:hyperlink r:id="rId118" w:history="1">
        <w:r w:rsidRPr="00A925E0">
          <w:rPr>
            <w:rFonts w:ascii="Times New Roman" w:eastAsia="Times New Roman" w:hAnsi="Times New Roman" w:cs="Times New Roman"/>
            <w:color w:val="0000FF"/>
            <w:kern w:val="0"/>
            <w:sz w:val="24"/>
            <w:szCs w:val="24"/>
            <w:u w:val="single"/>
            <w:lang w:eastAsia="es-ES"/>
            <w14:ligatures w14:val="none"/>
          </w:rPr>
          <w:t>https://doi.org/10.1038/nature10600</w:t>
        </w:r>
      </w:hyperlink>
      <w:r w:rsidRPr="00A925E0">
        <w:rPr>
          <w:rFonts w:ascii="Times New Roman" w:eastAsia="Times New Roman" w:hAnsi="Times New Roman" w:cs="Times New Roman"/>
          <w:kern w:val="0"/>
          <w:sz w:val="24"/>
          <w:szCs w:val="24"/>
          <w:lang w:eastAsia="es-ES"/>
          <w14:ligatures w14:val="none"/>
        </w:rPr>
        <w:t xml:space="preserve"> [</w:t>
      </w:r>
      <w:hyperlink r:id="rId119"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0E72B1ED"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15.</w:t>
      </w:r>
      <w:r w:rsidRPr="00A925E0">
        <w:rPr>
          <w:rFonts w:ascii="Times New Roman" w:eastAsia="Times New Roman" w:hAnsi="Times New Roman" w:cs="Times New Roman"/>
          <w:kern w:val="0"/>
          <w:sz w:val="24"/>
          <w:szCs w:val="24"/>
          <w:lang w:eastAsia="es-ES"/>
          <w14:ligatures w14:val="none"/>
        </w:rPr>
        <w:t xml:space="preserve"> Wang ZV, Mu J, Schraw TD, Gautron L, Elmquist JK, Zhang BB, Brownlee M, Scherer PE. PANIC-ATTAC: a mouse model for inducible and reversible beta-cell ablation. Diabetes. 2008; 57:2137–48. </w:t>
      </w:r>
      <w:hyperlink r:id="rId120" w:history="1">
        <w:r w:rsidRPr="00A925E0">
          <w:rPr>
            <w:rFonts w:ascii="Times New Roman" w:eastAsia="Times New Roman" w:hAnsi="Times New Roman" w:cs="Times New Roman"/>
            <w:color w:val="0000FF"/>
            <w:kern w:val="0"/>
            <w:sz w:val="24"/>
            <w:szCs w:val="24"/>
            <w:u w:val="single"/>
            <w:lang w:eastAsia="es-ES"/>
            <w14:ligatures w14:val="none"/>
          </w:rPr>
          <w:t>https://doi.org/10.2337/db07-1631</w:t>
        </w:r>
      </w:hyperlink>
      <w:r w:rsidRPr="00A925E0">
        <w:rPr>
          <w:rFonts w:ascii="Times New Roman" w:eastAsia="Times New Roman" w:hAnsi="Times New Roman" w:cs="Times New Roman"/>
          <w:kern w:val="0"/>
          <w:sz w:val="24"/>
          <w:szCs w:val="24"/>
          <w:lang w:eastAsia="es-ES"/>
          <w14:ligatures w14:val="none"/>
        </w:rPr>
        <w:t xml:space="preserve"> [</w:t>
      </w:r>
      <w:hyperlink r:id="rId121"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61209A00"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16.</w:t>
      </w:r>
      <w:r w:rsidRPr="00A925E0">
        <w:rPr>
          <w:rFonts w:ascii="Times New Roman" w:eastAsia="Times New Roman" w:hAnsi="Times New Roman" w:cs="Times New Roman"/>
          <w:kern w:val="0"/>
          <w:sz w:val="24"/>
          <w:szCs w:val="24"/>
          <w:lang w:eastAsia="es-ES"/>
          <w14:ligatures w14:val="none"/>
        </w:rPr>
        <w:t xml:space="preserve"> Redl H, Schlag G, Bahrami S. Animal models of sepsis and shock: a review and lessons learned. Edwin A Deitch. Shock 9(1):1-11, 1998. Shock. 1998; 10:442–5. [</w:t>
      </w:r>
      <w:hyperlink r:id="rId122"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3AC0E816"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17.</w:t>
      </w:r>
      <w:r w:rsidRPr="00A925E0">
        <w:rPr>
          <w:rFonts w:ascii="Times New Roman" w:eastAsia="Times New Roman" w:hAnsi="Times New Roman" w:cs="Times New Roman"/>
          <w:kern w:val="0"/>
          <w:sz w:val="24"/>
          <w:szCs w:val="24"/>
          <w:lang w:eastAsia="es-ES"/>
          <w14:ligatures w14:val="none"/>
        </w:rPr>
        <w:t xml:space="preserve"> Tumeh PC, Harview CL, Yearley JH, Shintaku IP, Taylor EJ, Robert L, Chmielowski B, Spasic M, Henry G, Ciobanu V, West AN, Carmona M, Kivork C, et al. PD-1 blockade induces responses by inhibiting adaptive immune resistance. Nature. 2014; 515:568–71. </w:t>
      </w:r>
      <w:hyperlink r:id="rId123" w:history="1">
        <w:r w:rsidRPr="00A925E0">
          <w:rPr>
            <w:rFonts w:ascii="Times New Roman" w:eastAsia="Times New Roman" w:hAnsi="Times New Roman" w:cs="Times New Roman"/>
            <w:color w:val="0000FF"/>
            <w:kern w:val="0"/>
            <w:sz w:val="24"/>
            <w:szCs w:val="24"/>
            <w:u w:val="single"/>
            <w:lang w:eastAsia="es-ES"/>
            <w14:ligatures w14:val="none"/>
          </w:rPr>
          <w:t>https://doi.org/10.1038/nature13954</w:t>
        </w:r>
      </w:hyperlink>
      <w:r w:rsidRPr="00A925E0">
        <w:rPr>
          <w:rFonts w:ascii="Times New Roman" w:eastAsia="Times New Roman" w:hAnsi="Times New Roman" w:cs="Times New Roman"/>
          <w:kern w:val="0"/>
          <w:sz w:val="24"/>
          <w:szCs w:val="24"/>
          <w:lang w:eastAsia="es-ES"/>
          <w14:ligatures w14:val="none"/>
        </w:rPr>
        <w:t xml:space="preserve"> [</w:t>
      </w:r>
      <w:hyperlink r:id="rId124"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15947806"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18.</w:t>
      </w:r>
      <w:r w:rsidRPr="00A925E0">
        <w:rPr>
          <w:rFonts w:ascii="Times New Roman" w:eastAsia="Times New Roman" w:hAnsi="Times New Roman" w:cs="Times New Roman"/>
          <w:kern w:val="0"/>
          <w:sz w:val="24"/>
          <w:szCs w:val="24"/>
          <w:lang w:eastAsia="es-ES"/>
          <w14:ligatures w14:val="none"/>
        </w:rPr>
        <w:t xml:space="preserve"> Juneja VR, McGuire KA, Manguso RT, LaFleur MW, Collins N, Haining WN, Freeman GJ, Sharpe AH. PD-L1 on tumor cells is sufficient for immune evasion in immunogenic tumors and inhibits CD8 T cell cytotoxicity. J Exp Med. 2017; 214:895–904. </w:t>
      </w:r>
      <w:hyperlink r:id="rId125" w:history="1">
        <w:r w:rsidRPr="00A925E0">
          <w:rPr>
            <w:rFonts w:ascii="Times New Roman" w:eastAsia="Times New Roman" w:hAnsi="Times New Roman" w:cs="Times New Roman"/>
            <w:color w:val="0000FF"/>
            <w:kern w:val="0"/>
            <w:sz w:val="24"/>
            <w:szCs w:val="24"/>
            <w:u w:val="single"/>
            <w:lang w:eastAsia="es-ES"/>
            <w14:ligatures w14:val="none"/>
          </w:rPr>
          <w:t>https://doi.org/10.1084/jem.20160801</w:t>
        </w:r>
      </w:hyperlink>
      <w:r w:rsidRPr="00A925E0">
        <w:rPr>
          <w:rFonts w:ascii="Times New Roman" w:eastAsia="Times New Roman" w:hAnsi="Times New Roman" w:cs="Times New Roman"/>
          <w:kern w:val="0"/>
          <w:sz w:val="24"/>
          <w:szCs w:val="24"/>
          <w:lang w:eastAsia="es-ES"/>
          <w14:ligatures w14:val="none"/>
        </w:rPr>
        <w:t xml:space="preserve"> [</w:t>
      </w:r>
      <w:hyperlink r:id="rId126"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7BCD4476" w14:textId="77777777" w:rsidR="00A925E0" w:rsidRPr="00A925E0" w:rsidRDefault="00A925E0" w:rsidP="00A925E0">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b/>
          <w:bCs/>
          <w:kern w:val="0"/>
          <w:sz w:val="24"/>
          <w:szCs w:val="24"/>
          <w:lang w:eastAsia="es-ES"/>
          <w14:ligatures w14:val="none"/>
        </w:rPr>
        <w:t>19.</w:t>
      </w:r>
      <w:r w:rsidRPr="00A925E0">
        <w:rPr>
          <w:rFonts w:ascii="Times New Roman" w:eastAsia="Times New Roman" w:hAnsi="Times New Roman" w:cs="Times New Roman"/>
          <w:kern w:val="0"/>
          <w:sz w:val="24"/>
          <w:szCs w:val="24"/>
          <w:lang w:eastAsia="es-ES"/>
          <w14:ligatures w14:val="none"/>
        </w:rPr>
        <w:t xml:space="preserve"> Mikuła-Pietrasik J, Uruski P, Tykarski A, Książek K. The peritoneal "soil" for a cancerous "seed": a comprehensive review of the pathogenesis of intraperitoneal cancer metastases. Cell Mol Life Sci. 2018; 75:509–25. </w:t>
      </w:r>
      <w:hyperlink r:id="rId127" w:history="1">
        <w:r w:rsidRPr="00A925E0">
          <w:rPr>
            <w:rFonts w:ascii="Times New Roman" w:eastAsia="Times New Roman" w:hAnsi="Times New Roman" w:cs="Times New Roman"/>
            <w:color w:val="0000FF"/>
            <w:kern w:val="0"/>
            <w:sz w:val="24"/>
            <w:szCs w:val="24"/>
            <w:u w:val="single"/>
            <w:lang w:eastAsia="es-ES"/>
            <w14:ligatures w14:val="none"/>
          </w:rPr>
          <w:t>https://doi.org/10.1007/s00018-017-2663-1</w:t>
        </w:r>
      </w:hyperlink>
      <w:r w:rsidRPr="00A925E0">
        <w:rPr>
          <w:rFonts w:ascii="Times New Roman" w:eastAsia="Times New Roman" w:hAnsi="Times New Roman" w:cs="Times New Roman"/>
          <w:kern w:val="0"/>
          <w:sz w:val="24"/>
          <w:szCs w:val="24"/>
          <w:lang w:eastAsia="es-ES"/>
          <w14:ligatures w14:val="none"/>
        </w:rPr>
        <w:t xml:space="preserve"> [</w:t>
      </w:r>
      <w:hyperlink r:id="rId128" w:anchor="_blank" w:history="1">
        <w:r w:rsidRPr="00A925E0">
          <w:rPr>
            <w:rFonts w:ascii="Times New Roman" w:eastAsia="Times New Roman" w:hAnsi="Times New Roman" w:cs="Times New Roman"/>
            <w:color w:val="0000FF"/>
            <w:kern w:val="0"/>
            <w:sz w:val="24"/>
            <w:szCs w:val="24"/>
            <w:u w:val="single"/>
            <w:lang w:eastAsia="es-ES"/>
            <w14:ligatures w14:val="none"/>
          </w:rPr>
          <w:t>PubMed</w:t>
        </w:r>
      </w:hyperlink>
      <w:r w:rsidRPr="00A925E0">
        <w:rPr>
          <w:rFonts w:ascii="Times New Roman" w:eastAsia="Times New Roman" w:hAnsi="Times New Roman" w:cs="Times New Roman"/>
          <w:kern w:val="0"/>
          <w:sz w:val="24"/>
          <w:szCs w:val="24"/>
          <w:lang w:eastAsia="es-ES"/>
          <w14:ligatures w14:val="none"/>
        </w:rPr>
        <w:t xml:space="preserve">] </w:t>
      </w:r>
    </w:p>
    <w:p w14:paraId="0CC84B3F" w14:textId="77777777" w:rsidR="00A925E0" w:rsidRPr="00A925E0" w:rsidRDefault="00A925E0" w:rsidP="00A925E0">
      <w:pPr>
        <w:spacing w:before="100" w:beforeAutospacing="1" w:after="100" w:afterAutospacing="1" w:line="240" w:lineRule="auto"/>
        <w:outlineLvl w:val="2"/>
        <w:rPr>
          <w:rFonts w:ascii="Times New Roman" w:eastAsia="Times New Roman" w:hAnsi="Times New Roman" w:cs="Times New Roman"/>
          <w:b/>
          <w:bCs/>
          <w:kern w:val="0"/>
          <w:sz w:val="27"/>
          <w:szCs w:val="27"/>
          <w:lang w:eastAsia="es-ES"/>
          <w14:ligatures w14:val="none"/>
        </w:rPr>
      </w:pPr>
      <w:r w:rsidRPr="00A925E0">
        <w:rPr>
          <w:rFonts w:ascii="Times New Roman" w:eastAsia="Times New Roman" w:hAnsi="Times New Roman" w:cs="Times New Roman"/>
          <w:b/>
          <w:bCs/>
          <w:kern w:val="0"/>
          <w:sz w:val="27"/>
          <w:szCs w:val="27"/>
          <w:lang w:eastAsia="es-ES"/>
          <w14:ligatures w14:val="none"/>
        </w:rPr>
        <w:t>Recommended Articles From TrendMD</w:t>
      </w:r>
    </w:p>
    <w:p w14:paraId="7AFB6468" w14:textId="77777777" w:rsidR="00A925E0" w:rsidRPr="00A925E0" w:rsidRDefault="00A925E0" w:rsidP="00A925E0">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29" w:tgtFrame="_self" w:history="1">
        <w:r w:rsidRPr="00A925E0">
          <w:rPr>
            <w:rFonts w:ascii="Times New Roman" w:eastAsia="Times New Roman" w:hAnsi="Times New Roman" w:cs="Times New Roman"/>
            <w:color w:val="0000FF"/>
            <w:kern w:val="0"/>
            <w:sz w:val="24"/>
            <w:szCs w:val="24"/>
            <w:u w:val="single"/>
            <w:lang w:eastAsia="es-ES"/>
            <w14:ligatures w14:val="none"/>
          </w:rPr>
          <w:t>Signatures of immune cell infiltration for predicting immune escape and immunotherapy in cervical cancer</w:t>
        </w:r>
      </w:hyperlink>
      <w:r w:rsidRPr="00A925E0">
        <w:rPr>
          <w:rFonts w:ascii="Times New Roman" w:eastAsia="Times New Roman" w:hAnsi="Times New Roman" w:cs="Times New Roman"/>
          <w:kern w:val="0"/>
          <w:sz w:val="24"/>
          <w:szCs w:val="24"/>
          <w:lang w:eastAsia="es-ES"/>
          <w14:ligatures w14:val="none"/>
        </w:rPr>
        <w:t xml:space="preserve"> </w:t>
      </w:r>
    </w:p>
    <w:p w14:paraId="1947F6A6"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Fuxing Chen et al., Aging, 2023 </w:t>
      </w:r>
    </w:p>
    <w:p w14:paraId="78CE045C" w14:textId="77777777" w:rsidR="00A925E0" w:rsidRPr="00A925E0" w:rsidRDefault="00A925E0" w:rsidP="00A925E0">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30" w:tgtFrame="_self" w:history="1">
        <w:r w:rsidRPr="00A925E0">
          <w:rPr>
            <w:rFonts w:ascii="Times New Roman" w:eastAsia="Times New Roman" w:hAnsi="Times New Roman" w:cs="Times New Roman"/>
            <w:color w:val="0000FF"/>
            <w:kern w:val="0"/>
            <w:sz w:val="24"/>
            <w:szCs w:val="24"/>
            <w:u w:val="single"/>
            <w:lang w:eastAsia="es-ES"/>
            <w14:ligatures w14:val="none"/>
          </w:rPr>
          <w:t>Single-cell and bulk sequencing analyses reveal the immune suppressive role of PTPN6 in glioblastoma</w:t>
        </w:r>
      </w:hyperlink>
      <w:r w:rsidRPr="00A925E0">
        <w:rPr>
          <w:rFonts w:ascii="Times New Roman" w:eastAsia="Times New Roman" w:hAnsi="Times New Roman" w:cs="Times New Roman"/>
          <w:kern w:val="0"/>
          <w:sz w:val="24"/>
          <w:szCs w:val="24"/>
          <w:lang w:eastAsia="es-ES"/>
          <w14:ligatures w14:val="none"/>
        </w:rPr>
        <w:t xml:space="preserve"> </w:t>
      </w:r>
    </w:p>
    <w:p w14:paraId="128A3742"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Xiaonan Zhang et al., Aging, 2023 </w:t>
      </w:r>
    </w:p>
    <w:p w14:paraId="5B769FF0" w14:textId="77777777" w:rsidR="00A925E0" w:rsidRPr="00A925E0" w:rsidRDefault="00A925E0" w:rsidP="00A925E0">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31" w:tgtFrame="_self" w:history="1">
        <w:r w:rsidRPr="00A925E0">
          <w:rPr>
            <w:rFonts w:ascii="Times New Roman" w:eastAsia="Times New Roman" w:hAnsi="Times New Roman" w:cs="Times New Roman"/>
            <w:color w:val="0000FF"/>
            <w:kern w:val="0"/>
            <w:sz w:val="24"/>
            <w:szCs w:val="24"/>
            <w:u w:val="single"/>
            <w:lang w:eastAsia="es-ES"/>
            <w14:ligatures w14:val="none"/>
          </w:rPr>
          <w:t>APDL1-CART cells exhibit strong PD-L1-specific activity against leukemia cells</w:t>
        </w:r>
      </w:hyperlink>
      <w:r w:rsidRPr="00A925E0">
        <w:rPr>
          <w:rFonts w:ascii="Times New Roman" w:eastAsia="Times New Roman" w:hAnsi="Times New Roman" w:cs="Times New Roman"/>
          <w:kern w:val="0"/>
          <w:sz w:val="24"/>
          <w:szCs w:val="24"/>
          <w:lang w:eastAsia="es-ES"/>
          <w14:ligatures w14:val="none"/>
        </w:rPr>
        <w:t xml:space="preserve"> </w:t>
      </w:r>
    </w:p>
    <w:p w14:paraId="70E2A688"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Qunyi Peng et al., Aging, 2021 </w:t>
      </w:r>
    </w:p>
    <w:p w14:paraId="421BA246" w14:textId="77777777" w:rsidR="00A925E0" w:rsidRPr="00A925E0" w:rsidRDefault="00A925E0" w:rsidP="00A925E0">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32" w:tgtFrame="_self" w:history="1">
        <w:r w:rsidRPr="00A925E0">
          <w:rPr>
            <w:rFonts w:ascii="Times New Roman" w:eastAsia="Times New Roman" w:hAnsi="Times New Roman" w:cs="Times New Roman"/>
            <w:color w:val="0000FF"/>
            <w:kern w:val="0"/>
            <w:sz w:val="24"/>
            <w:szCs w:val="24"/>
            <w:u w:val="single"/>
            <w:lang w:eastAsia="es-ES"/>
            <w14:ligatures w14:val="none"/>
          </w:rPr>
          <w:t>Efficacy of zinc carnosine in the treatment of colorectal cancer and its potential in combination with immunotherapy in vivo</w:t>
        </w:r>
      </w:hyperlink>
      <w:r w:rsidRPr="00A925E0">
        <w:rPr>
          <w:rFonts w:ascii="Times New Roman" w:eastAsia="Times New Roman" w:hAnsi="Times New Roman" w:cs="Times New Roman"/>
          <w:kern w:val="0"/>
          <w:sz w:val="24"/>
          <w:szCs w:val="24"/>
          <w:lang w:eastAsia="es-ES"/>
          <w14:ligatures w14:val="none"/>
        </w:rPr>
        <w:t xml:space="preserve"> </w:t>
      </w:r>
    </w:p>
    <w:p w14:paraId="392D1C70"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Weiwei Tang et al., Aging, 2022 </w:t>
      </w:r>
    </w:p>
    <w:p w14:paraId="12A8D9B2" w14:textId="77777777" w:rsidR="00A925E0" w:rsidRPr="00A925E0" w:rsidRDefault="00A925E0" w:rsidP="00A925E0">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33" w:tgtFrame="_self" w:history="1">
        <w:r w:rsidRPr="00A925E0">
          <w:rPr>
            <w:rFonts w:ascii="Times New Roman" w:eastAsia="Times New Roman" w:hAnsi="Times New Roman" w:cs="Times New Roman"/>
            <w:color w:val="0000FF"/>
            <w:kern w:val="0"/>
            <w:sz w:val="24"/>
            <w:szCs w:val="24"/>
            <w:u w:val="single"/>
            <w:lang w:eastAsia="es-ES"/>
            <w14:ligatures w14:val="none"/>
          </w:rPr>
          <w:t>Androgen receptor affects the response to immune checkpoint therapy by suppressing PD-L1 in hepatocellular carcinoma</w:t>
        </w:r>
      </w:hyperlink>
      <w:r w:rsidRPr="00A925E0">
        <w:rPr>
          <w:rFonts w:ascii="Times New Roman" w:eastAsia="Times New Roman" w:hAnsi="Times New Roman" w:cs="Times New Roman"/>
          <w:kern w:val="0"/>
          <w:sz w:val="24"/>
          <w:szCs w:val="24"/>
          <w:lang w:eastAsia="es-ES"/>
          <w14:ligatures w14:val="none"/>
        </w:rPr>
        <w:t xml:space="preserve"> </w:t>
      </w:r>
    </w:p>
    <w:p w14:paraId="72B42F71"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Guangyi Jiang et al., Aging, 2020 </w:t>
      </w:r>
    </w:p>
    <w:p w14:paraId="058D0195" w14:textId="77777777" w:rsidR="00A925E0" w:rsidRPr="00A925E0" w:rsidRDefault="00A925E0" w:rsidP="00A925E0">
      <w:pPr>
        <w:numPr>
          <w:ilvl w:val="0"/>
          <w:numId w:val="4"/>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34" w:tgtFrame="_blank" w:history="1">
        <w:r w:rsidRPr="00A925E0">
          <w:rPr>
            <w:rFonts w:ascii="Times New Roman" w:eastAsia="Times New Roman" w:hAnsi="Times New Roman" w:cs="Times New Roman"/>
            <w:color w:val="0000FF"/>
            <w:kern w:val="0"/>
            <w:sz w:val="24"/>
            <w:szCs w:val="24"/>
            <w:u w:val="single"/>
            <w:lang w:eastAsia="es-ES"/>
            <w14:ligatures w14:val="none"/>
          </w:rPr>
          <w:t>Perpendicular magnetic anisotropy of Pd/Co2 MnSi/NiFe2O4/Pd multilayers on F-mica substrates</w:t>
        </w:r>
      </w:hyperlink>
      <w:r w:rsidRPr="00A925E0">
        <w:rPr>
          <w:rFonts w:ascii="Times New Roman" w:eastAsia="Times New Roman" w:hAnsi="Times New Roman" w:cs="Times New Roman"/>
          <w:kern w:val="0"/>
          <w:sz w:val="24"/>
          <w:szCs w:val="24"/>
          <w:lang w:eastAsia="es-ES"/>
          <w14:ligatures w14:val="none"/>
        </w:rPr>
        <w:t xml:space="preserve"> </w:t>
      </w:r>
    </w:p>
    <w:p w14:paraId="0D826A9A"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Qingwang Bai et al., Chinese Physics B, 2022 </w:t>
      </w:r>
    </w:p>
    <w:p w14:paraId="5F4055A2" w14:textId="77777777" w:rsidR="00A925E0" w:rsidRPr="00A925E0" w:rsidRDefault="00A925E0" w:rsidP="00A925E0">
      <w:pPr>
        <w:numPr>
          <w:ilvl w:val="0"/>
          <w:numId w:val="4"/>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35" w:tgtFrame="_blank" w:history="1">
        <w:r w:rsidRPr="00A925E0">
          <w:rPr>
            <w:rFonts w:ascii="Times New Roman" w:eastAsia="Times New Roman" w:hAnsi="Times New Roman" w:cs="Times New Roman"/>
            <w:color w:val="0000FF"/>
            <w:kern w:val="0"/>
            <w:sz w:val="24"/>
            <w:szCs w:val="24"/>
            <w:u w:val="single"/>
            <w:lang w:eastAsia="es-ES"/>
            <w14:ligatures w14:val="none"/>
          </w:rPr>
          <w:t>Immune Adjuvant Effect of Chiral Nanomaterials</w:t>
        </w:r>
      </w:hyperlink>
      <w:r w:rsidRPr="00A925E0">
        <w:rPr>
          <w:rFonts w:ascii="Times New Roman" w:eastAsia="Times New Roman" w:hAnsi="Times New Roman" w:cs="Times New Roman"/>
          <w:kern w:val="0"/>
          <w:sz w:val="24"/>
          <w:szCs w:val="24"/>
          <w:lang w:eastAsia="es-ES"/>
          <w14:ligatures w14:val="none"/>
        </w:rPr>
        <w:t xml:space="preserve"> </w:t>
      </w:r>
    </w:p>
    <w:p w14:paraId="422210D4"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Guangbo Qu et al., Progress in Chemistry, 2022 </w:t>
      </w:r>
    </w:p>
    <w:p w14:paraId="2FEC5ADA" w14:textId="77777777" w:rsidR="00A925E0" w:rsidRPr="00A925E0" w:rsidRDefault="00A925E0" w:rsidP="00A925E0">
      <w:pPr>
        <w:numPr>
          <w:ilvl w:val="0"/>
          <w:numId w:val="4"/>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36" w:tgtFrame="_blank" w:history="1">
        <w:r w:rsidRPr="00A925E0">
          <w:rPr>
            <w:rFonts w:ascii="Times New Roman" w:eastAsia="Times New Roman" w:hAnsi="Times New Roman" w:cs="Times New Roman"/>
            <w:color w:val="0000FF"/>
            <w:kern w:val="0"/>
            <w:sz w:val="24"/>
            <w:szCs w:val="24"/>
            <w:u w:val="single"/>
            <w:lang w:eastAsia="es-ES"/>
            <w14:ligatures w14:val="none"/>
          </w:rPr>
          <w:t>Fast-speed self-powered PEDOT:PSS/α-Ga2O3 nanorod array/FTO photodetector with solar-blind UV/visible dual-band photodetection</w:t>
        </w:r>
      </w:hyperlink>
      <w:r w:rsidRPr="00A925E0">
        <w:rPr>
          <w:rFonts w:ascii="Times New Roman" w:eastAsia="Times New Roman" w:hAnsi="Times New Roman" w:cs="Times New Roman"/>
          <w:kern w:val="0"/>
          <w:sz w:val="24"/>
          <w:szCs w:val="24"/>
          <w:lang w:eastAsia="es-ES"/>
          <w14:ligatures w14:val="none"/>
        </w:rPr>
        <w:t xml:space="preserve"> </w:t>
      </w:r>
    </w:p>
    <w:p w14:paraId="19661BC3"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Ming-Ming Fan et al., Chinese Physics B, 2022 </w:t>
      </w:r>
    </w:p>
    <w:p w14:paraId="7D43D503" w14:textId="77777777" w:rsidR="00A925E0" w:rsidRPr="00A925E0" w:rsidRDefault="00A925E0" w:rsidP="00A925E0">
      <w:pPr>
        <w:numPr>
          <w:ilvl w:val="0"/>
          <w:numId w:val="4"/>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37" w:tgtFrame="_blank" w:history="1">
        <w:r w:rsidRPr="00A925E0">
          <w:rPr>
            <w:rFonts w:ascii="Times New Roman" w:eastAsia="Times New Roman" w:hAnsi="Times New Roman" w:cs="Times New Roman"/>
            <w:color w:val="0000FF"/>
            <w:kern w:val="0"/>
            <w:sz w:val="24"/>
            <w:szCs w:val="24"/>
            <w:u w:val="single"/>
            <w:lang w:eastAsia="es-ES"/>
            <w14:ligatures w14:val="none"/>
          </w:rPr>
          <w:t>Sodium arsenite reduces severity of dextran sulfate sodium-induced ulcerative colitis in rats</w:t>
        </w:r>
      </w:hyperlink>
      <w:r w:rsidRPr="00A925E0">
        <w:rPr>
          <w:rFonts w:ascii="Times New Roman" w:eastAsia="Times New Roman" w:hAnsi="Times New Roman" w:cs="Times New Roman"/>
          <w:kern w:val="0"/>
          <w:sz w:val="24"/>
          <w:szCs w:val="24"/>
          <w:lang w:eastAsia="es-ES"/>
          <w14:ligatures w14:val="none"/>
        </w:rPr>
        <w:t xml:space="preserve"> </w:t>
      </w:r>
    </w:p>
    <w:p w14:paraId="2E4FD7BE"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Joshua J. Malago et al., Journal of Zhejiang University-SCIENCE B (Biomedicine &amp; Biotechnology), 2008 </w:t>
      </w:r>
    </w:p>
    <w:p w14:paraId="48144D0B" w14:textId="77777777" w:rsidR="00A925E0" w:rsidRPr="00A925E0" w:rsidRDefault="00A925E0" w:rsidP="00A925E0">
      <w:pPr>
        <w:numPr>
          <w:ilvl w:val="0"/>
          <w:numId w:val="4"/>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138" w:tgtFrame="_blank" w:history="1">
        <w:r w:rsidRPr="00A925E0">
          <w:rPr>
            <w:rFonts w:ascii="Times New Roman" w:eastAsia="Times New Roman" w:hAnsi="Times New Roman" w:cs="Times New Roman"/>
            <w:color w:val="0000FF"/>
            <w:kern w:val="0"/>
            <w:sz w:val="24"/>
            <w:szCs w:val="24"/>
            <w:u w:val="single"/>
            <w:lang w:eastAsia="es-ES"/>
            <w14:ligatures w14:val="none"/>
          </w:rPr>
          <w:t>Laser fragmentation in liquid synthesis of novel palladium-sulfur compound nanoparticles as efficient electrocatalysts for hydrogen evolution reaction</w:t>
        </w:r>
      </w:hyperlink>
      <w:r w:rsidRPr="00A925E0">
        <w:rPr>
          <w:rFonts w:ascii="Times New Roman" w:eastAsia="Times New Roman" w:hAnsi="Times New Roman" w:cs="Times New Roman"/>
          <w:kern w:val="0"/>
          <w:sz w:val="24"/>
          <w:szCs w:val="24"/>
          <w:lang w:eastAsia="es-ES"/>
          <w14:ligatures w14:val="none"/>
        </w:rPr>
        <w:t xml:space="preserve"> </w:t>
      </w:r>
    </w:p>
    <w:p w14:paraId="4DDC819A" w14:textId="77777777" w:rsidR="00A925E0" w:rsidRPr="00A925E0" w:rsidRDefault="00A925E0" w:rsidP="00A925E0">
      <w:pPr>
        <w:spacing w:before="100" w:beforeAutospacing="1" w:after="100" w:afterAutospacing="1" w:line="240" w:lineRule="auto"/>
        <w:ind w:left="720"/>
        <w:rPr>
          <w:rFonts w:ascii="Times New Roman" w:eastAsia="Times New Roman" w:hAnsi="Times New Roman" w:cs="Times New Roman"/>
          <w:kern w:val="0"/>
          <w:sz w:val="24"/>
          <w:szCs w:val="24"/>
          <w:lang w:eastAsia="es-ES"/>
          <w14:ligatures w14:val="none"/>
        </w:rPr>
      </w:pPr>
      <w:r w:rsidRPr="00A925E0">
        <w:rPr>
          <w:rFonts w:ascii="Times New Roman" w:eastAsia="Times New Roman" w:hAnsi="Times New Roman" w:cs="Times New Roman"/>
          <w:kern w:val="0"/>
          <w:sz w:val="24"/>
          <w:szCs w:val="24"/>
          <w:lang w:eastAsia="es-ES"/>
          <w14:ligatures w14:val="none"/>
        </w:rPr>
        <w:t xml:space="preserve">Guo-Shuai Fu et al., Chinese Physics B, 2022 </w:t>
      </w:r>
    </w:p>
    <w:p w14:paraId="31F4AD83" w14:textId="77777777" w:rsidR="00B20BFD" w:rsidRDefault="00B20BFD"/>
    <w:sectPr w:rsidR="00B20BF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82696"/>
    <w:multiLevelType w:val="multilevel"/>
    <w:tmpl w:val="0F72F2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D66E95"/>
    <w:multiLevelType w:val="multilevel"/>
    <w:tmpl w:val="17021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1B48A3"/>
    <w:multiLevelType w:val="multilevel"/>
    <w:tmpl w:val="A8F2E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9C37488"/>
    <w:multiLevelType w:val="multilevel"/>
    <w:tmpl w:val="A3708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62328843">
    <w:abstractNumId w:val="2"/>
  </w:num>
  <w:num w:numId="2" w16cid:durableId="2024628353">
    <w:abstractNumId w:val="1"/>
  </w:num>
  <w:num w:numId="3" w16cid:durableId="1233585092">
    <w:abstractNumId w:val="0"/>
  </w:num>
  <w:num w:numId="4" w16cid:durableId="107034464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5E0"/>
    <w:rsid w:val="007B14B4"/>
    <w:rsid w:val="00A925E0"/>
    <w:rsid w:val="00B20BF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7280F"/>
  <w15:chartTrackingRefBased/>
  <w15:docId w15:val="{9DB9765C-6AC3-485D-A322-25407C529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A925E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14:ligatures w14:val="none"/>
    </w:rPr>
  </w:style>
  <w:style w:type="paragraph" w:styleId="Ttulo2">
    <w:name w:val="heading 2"/>
    <w:basedOn w:val="Normal"/>
    <w:link w:val="Ttulo2Car"/>
    <w:uiPriority w:val="9"/>
    <w:qFormat/>
    <w:rsid w:val="00A925E0"/>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s-ES"/>
      <w14:ligatures w14:val="none"/>
    </w:rPr>
  </w:style>
  <w:style w:type="paragraph" w:styleId="Ttulo3">
    <w:name w:val="heading 3"/>
    <w:basedOn w:val="Normal"/>
    <w:link w:val="Ttulo3Car"/>
    <w:uiPriority w:val="9"/>
    <w:qFormat/>
    <w:rsid w:val="00A925E0"/>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s-ES"/>
      <w14:ligatures w14:val="none"/>
    </w:rPr>
  </w:style>
  <w:style w:type="paragraph" w:styleId="Ttulo4">
    <w:name w:val="heading 4"/>
    <w:basedOn w:val="Normal"/>
    <w:link w:val="Ttulo4Car"/>
    <w:uiPriority w:val="9"/>
    <w:qFormat/>
    <w:rsid w:val="00A925E0"/>
    <w:pPr>
      <w:spacing w:before="100" w:beforeAutospacing="1" w:after="100" w:afterAutospacing="1" w:line="240" w:lineRule="auto"/>
      <w:outlineLvl w:val="3"/>
    </w:pPr>
    <w:rPr>
      <w:rFonts w:ascii="Times New Roman" w:eastAsia="Times New Roman" w:hAnsi="Times New Roman" w:cs="Times New Roman"/>
      <w:b/>
      <w:bCs/>
      <w:kern w:val="0"/>
      <w:sz w:val="24"/>
      <w:szCs w:val="24"/>
      <w:lang w:eastAsia="es-ES"/>
      <w14:ligatures w14:val="none"/>
    </w:rPr>
  </w:style>
  <w:style w:type="paragraph" w:styleId="Ttulo5">
    <w:name w:val="heading 5"/>
    <w:basedOn w:val="Normal"/>
    <w:link w:val="Ttulo5Car"/>
    <w:uiPriority w:val="9"/>
    <w:qFormat/>
    <w:rsid w:val="00A925E0"/>
    <w:pPr>
      <w:spacing w:before="100" w:beforeAutospacing="1" w:after="100" w:afterAutospacing="1" w:line="240" w:lineRule="auto"/>
      <w:outlineLvl w:val="4"/>
    </w:pPr>
    <w:rPr>
      <w:rFonts w:ascii="Times New Roman" w:eastAsia="Times New Roman" w:hAnsi="Times New Roman" w:cs="Times New Roman"/>
      <w:b/>
      <w:bCs/>
      <w:kern w:val="0"/>
      <w:sz w:val="20"/>
      <w:szCs w:val="20"/>
      <w:lang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925E0"/>
    <w:rPr>
      <w:rFonts w:ascii="Times New Roman" w:eastAsia="Times New Roman" w:hAnsi="Times New Roman" w:cs="Times New Roman"/>
      <w:b/>
      <w:bCs/>
      <w:kern w:val="36"/>
      <w:sz w:val="48"/>
      <w:szCs w:val="48"/>
      <w:lang w:eastAsia="es-ES"/>
      <w14:ligatures w14:val="none"/>
    </w:rPr>
  </w:style>
  <w:style w:type="character" w:customStyle="1" w:styleId="Ttulo2Car">
    <w:name w:val="Título 2 Car"/>
    <w:basedOn w:val="Fuentedeprrafopredeter"/>
    <w:link w:val="Ttulo2"/>
    <w:uiPriority w:val="9"/>
    <w:rsid w:val="00A925E0"/>
    <w:rPr>
      <w:rFonts w:ascii="Times New Roman" w:eastAsia="Times New Roman" w:hAnsi="Times New Roman" w:cs="Times New Roman"/>
      <w:b/>
      <w:bCs/>
      <w:kern w:val="0"/>
      <w:sz w:val="36"/>
      <w:szCs w:val="36"/>
      <w:lang w:eastAsia="es-ES"/>
      <w14:ligatures w14:val="none"/>
    </w:rPr>
  </w:style>
  <w:style w:type="character" w:customStyle="1" w:styleId="Ttulo3Car">
    <w:name w:val="Título 3 Car"/>
    <w:basedOn w:val="Fuentedeprrafopredeter"/>
    <w:link w:val="Ttulo3"/>
    <w:uiPriority w:val="9"/>
    <w:rsid w:val="00A925E0"/>
    <w:rPr>
      <w:rFonts w:ascii="Times New Roman" w:eastAsia="Times New Roman" w:hAnsi="Times New Roman" w:cs="Times New Roman"/>
      <w:b/>
      <w:bCs/>
      <w:kern w:val="0"/>
      <w:sz w:val="27"/>
      <w:szCs w:val="27"/>
      <w:lang w:eastAsia="es-ES"/>
      <w14:ligatures w14:val="none"/>
    </w:rPr>
  </w:style>
  <w:style w:type="character" w:customStyle="1" w:styleId="Ttulo4Car">
    <w:name w:val="Título 4 Car"/>
    <w:basedOn w:val="Fuentedeprrafopredeter"/>
    <w:link w:val="Ttulo4"/>
    <w:uiPriority w:val="9"/>
    <w:rsid w:val="00A925E0"/>
    <w:rPr>
      <w:rFonts w:ascii="Times New Roman" w:eastAsia="Times New Roman" w:hAnsi="Times New Roman" w:cs="Times New Roman"/>
      <w:b/>
      <w:bCs/>
      <w:kern w:val="0"/>
      <w:sz w:val="24"/>
      <w:szCs w:val="24"/>
      <w:lang w:eastAsia="es-ES"/>
      <w14:ligatures w14:val="none"/>
    </w:rPr>
  </w:style>
  <w:style w:type="character" w:customStyle="1" w:styleId="Ttulo5Car">
    <w:name w:val="Título 5 Car"/>
    <w:basedOn w:val="Fuentedeprrafopredeter"/>
    <w:link w:val="Ttulo5"/>
    <w:uiPriority w:val="9"/>
    <w:rsid w:val="00A925E0"/>
    <w:rPr>
      <w:rFonts w:ascii="Times New Roman" w:eastAsia="Times New Roman" w:hAnsi="Times New Roman" w:cs="Times New Roman"/>
      <w:b/>
      <w:bCs/>
      <w:kern w:val="0"/>
      <w:sz w:val="20"/>
      <w:szCs w:val="20"/>
      <w:lang w:eastAsia="es-ES"/>
      <w14:ligatures w14:val="none"/>
    </w:rPr>
  </w:style>
  <w:style w:type="numbering" w:customStyle="1" w:styleId="Sinlista1">
    <w:name w:val="Sin lista1"/>
    <w:next w:val="Sinlista"/>
    <w:uiPriority w:val="99"/>
    <w:semiHidden/>
    <w:unhideWhenUsed/>
    <w:rsid w:val="00A925E0"/>
  </w:style>
  <w:style w:type="paragraph" w:customStyle="1" w:styleId="msonormal0">
    <w:name w:val="msonormal"/>
    <w:basedOn w:val="Normal"/>
    <w:rsid w:val="00A925E0"/>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 w:type="character" w:customStyle="1" w:styleId="article-type">
    <w:name w:val="article-type"/>
    <w:basedOn w:val="Fuentedeprrafopredeter"/>
    <w:rsid w:val="00A925E0"/>
  </w:style>
  <w:style w:type="character" w:styleId="Hipervnculo">
    <w:name w:val="Hyperlink"/>
    <w:basedOn w:val="Fuentedeprrafopredeter"/>
    <w:uiPriority w:val="99"/>
    <w:semiHidden/>
    <w:unhideWhenUsed/>
    <w:rsid w:val="00A925E0"/>
    <w:rPr>
      <w:color w:val="0000FF"/>
      <w:u w:val="single"/>
    </w:rPr>
  </w:style>
  <w:style w:type="character" w:styleId="Hipervnculovisitado">
    <w:name w:val="FollowedHyperlink"/>
    <w:basedOn w:val="Fuentedeprrafopredeter"/>
    <w:uiPriority w:val="99"/>
    <w:semiHidden/>
    <w:unhideWhenUsed/>
    <w:rsid w:val="00A925E0"/>
    <w:rPr>
      <w:color w:val="800080"/>
      <w:u w:val="single"/>
    </w:rPr>
  </w:style>
  <w:style w:type="character" w:customStyle="1" w:styleId="author">
    <w:name w:val="author"/>
    <w:basedOn w:val="Fuentedeprrafopredeter"/>
    <w:rsid w:val="00A925E0"/>
  </w:style>
  <w:style w:type="character" w:customStyle="1" w:styleId="author-comma">
    <w:name w:val="author-comma"/>
    <w:basedOn w:val="Fuentedeprrafopredeter"/>
    <w:rsid w:val="00A925E0"/>
  </w:style>
  <w:style w:type="character" w:customStyle="1" w:styleId="comma">
    <w:name w:val="comma"/>
    <w:basedOn w:val="Fuentedeprrafopredeter"/>
    <w:rsid w:val="00A925E0"/>
  </w:style>
  <w:style w:type="character" w:customStyle="1" w:styleId="date">
    <w:name w:val="date"/>
    <w:basedOn w:val="Fuentedeprrafopredeter"/>
    <w:rsid w:val="00A925E0"/>
  </w:style>
  <w:style w:type="paragraph" w:customStyle="1" w:styleId="justify">
    <w:name w:val="justify"/>
    <w:basedOn w:val="Normal"/>
    <w:rsid w:val="00A925E0"/>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 w:type="paragraph" w:styleId="NormalWeb">
    <w:name w:val="Normal (Web)"/>
    <w:basedOn w:val="Normal"/>
    <w:uiPriority w:val="99"/>
    <w:semiHidden/>
    <w:unhideWhenUsed/>
    <w:rsid w:val="00A925E0"/>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 w:type="paragraph" w:customStyle="1" w:styleId="small-font">
    <w:name w:val="small-font"/>
    <w:basedOn w:val="Normal"/>
    <w:rsid w:val="00A925E0"/>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 w:type="character" w:customStyle="1" w:styleId="icon">
    <w:name w:val="icon"/>
    <w:basedOn w:val="Fuentedeprrafopredeter"/>
    <w:rsid w:val="00A925E0"/>
  </w:style>
  <w:style w:type="paragraph" w:customStyle="1" w:styleId="trendmd-widget-list-item">
    <w:name w:val="trendmd-widget-list-item"/>
    <w:basedOn w:val="Normal"/>
    <w:rsid w:val="00A925E0"/>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 w:type="character" w:customStyle="1" w:styleId="jsauthors">
    <w:name w:val="js_authors"/>
    <w:basedOn w:val="Fuentedeprrafopredeter"/>
    <w:rsid w:val="00A925E0"/>
  </w:style>
  <w:style w:type="character" w:customStyle="1" w:styleId="jspublicationdate">
    <w:name w:val="js_publication_date"/>
    <w:basedOn w:val="Fuentedeprrafopredeter"/>
    <w:rsid w:val="00A925E0"/>
  </w:style>
  <w:style w:type="character" w:customStyle="1" w:styleId="trendmd-widget-list-itemlinkexternal">
    <w:name w:val="trendmd-widget-list-item__link__external"/>
    <w:basedOn w:val="Fuentedeprrafopredeter"/>
    <w:rsid w:val="00A925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076820">
      <w:bodyDiv w:val="1"/>
      <w:marLeft w:val="0"/>
      <w:marRight w:val="0"/>
      <w:marTop w:val="0"/>
      <w:marBottom w:val="0"/>
      <w:divBdr>
        <w:top w:val="none" w:sz="0" w:space="0" w:color="auto"/>
        <w:left w:val="none" w:sz="0" w:space="0" w:color="auto"/>
        <w:bottom w:val="none" w:sz="0" w:space="0" w:color="auto"/>
        <w:right w:val="none" w:sz="0" w:space="0" w:color="auto"/>
      </w:divBdr>
      <w:divsChild>
        <w:div w:id="1098595961">
          <w:marLeft w:val="0"/>
          <w:marRight w:val="0"/>
          <w:marTop w:val="0"/>
          <w:marBottom w:val="0"/>
          <w:divBdr>
            <w:top w:val="none" w:sz="0" w:space="0" w:color="auto"/>
            <w:left w:val="none" w:sz="0" w:space="0" w:color="auto"/>
            <w:bottom w:val="none" w:sz="0" w:space="0" w:color="auto"/>
            <w:right w:val="none" w:sz="0" w:space="0" w:color="auto"/>
          </w:divBdr>
          <w:divsChild>
            <w:div w:id="1638223602">
              <w:marLeft w:val="0"/>
              <w:marRight w:val="0"/>
              <w:marTop w:val="0"/>
              <w:marBottom w:val="0"/>
              <w:divBdr>
                <w:top w:val="none" w:sz="0" w:space="0" w:color="auto"/>
                <w:left w:val="none" w:sz="0" w:space="0" w:color="auto"/>
                <w:bottom w:val="none" w:sz="0" w:space="0" w:color="auto"/>
                <w:right w:val="none" w:sz="0" w:space="0" w:color="auto"/>
              </w:divBdr>
            </w:div>
          </w:divsChild>
        </w:div>
        <w:div w:id="1809011482">
          <w:marLeft w:val="0"/>
          <w:marRight w:val="0"/>
          <w:marTop w:val="0"/>
          <w:marBottom w:val="0"/>
          <w:divBdr>
            <w:top w:val="none" w:sz="0" w:space="0" w:color="auto"/>
            <w:left w:val="none" w:sz="0" w:space="0" w:color="auto"/>
            <w:bottom w:val="none" w:sz="0" w:space="0" w:color="auto"/>
            <w:right w:val="none" w:sz="0" w:space="0" w:color="auto"/>
          </w:divBdr>
        </w:div>
        <w:div w:id="255601071">
          <w:marLeft w:val="0"/>
          <w:marRight w:val="0"/>
          <w:marTop w:val="0"/>
          <w:marBottom w:val="0"/>
          <w:divBdr>
            <w:top w:val="none" w:sz="0" w:space="0" w:color="auto"/>
            <w:left w:val="none" w:sz="0" w:space="0" w:color="auto"/>
            <w:bottom w:val="none" w:sz="0" w:space="0" w:color="auto"/>
            <w:right w:val="none" w:sz="0" w:space="0" w:color="auto"/>
          </w:divBdr>
          <w:divsChild>
            <w:div w:id="721254867">
              <w:marLeft w:val="0"/>
              <w:marRight w:val="0"/>
              <w:marTop w:val="0"/>
              <w:marBottom w:val="0"/>
              <w:divBdr>
                <w:top w:val="none" w:sz="0" w:space="0" w:color="auto"/>
                <w:left w:val="none" w:sz="0" w:space="0" w:color="auto"/>
                <w:bottom w:val="none" w:sz="0" w:space="0" w:color="auto"/>
                <w:right w:val="none" w:sz="0" w:space="0" w:color="auto"/>
              </w:divBdr>
            </w:div>
            <w:div w:id="1296987989">
              <w:marLeft w:val="0"/>
              <w:marRight w:val="0"/>
              <w:marTop w:val="0"/>
              <w:marBottom w:val="0"/>
              <w:divBdr>
                <w:top w:val="none" w:sz="0" w:space="0" w:color="auto"/>
                <w:left w:val="none" w:sz="0" w:space="0" w:color="auto"/>
                <w:bottom w:val="none" w:sz="0" w:space="0" w:color="auto"/>
                <w:right w:val="none" w:sz="0" w:space="0" w:color="auto"/>
              </w:divBdr>
              <w:divsChild>
                <w:div w:id="2083676723">
                  <w:marLeft w:val="0"/>
                  <w:marRight w:val="0"/>
                  <w:marTop w:val="0"/>
                  <w:marBottom w:val="0"/>
                  <w:divBdr>
                    <w:top w:val="none" w:sz="0" w:space="0" w:color="auto"/>
                    <w:left w:val="none" w:sz="0" w:space="0" w:color="auto"/>
                    <w:bottom w:val="none" w:sz="0" w:space="0" w:color="auto"/>
                    <w:right w:val="none" w:sz="0" w:space="0" w:color="auto"/>
                  </w:divBdr>
                  <w:divsChild>
                    <w:div w:id="966736219">
                      <w:marLeft w:val="0"/>
                      <w:marRight w:val="0"/>
                      <w:marTop w:val="0"/>
                      <w:marBottom w:val="0"/>
                      <w:divBdr>
                        <w:top w:val="none" w:sz="0" w:space="0" w:color="auto"/>
                        <w:left w:val="none" w:sz="0" w:space="0" w:color="auto"/>
                        <w:bottom w:val="none" w:sz="0" w:space="0" w:color="auto"/>
                        <w:right w:val="none" w:sz="0" w:space="0" w:color="auto"/>
                      </w:divBdr>
                    </w:div>
                  </w:divsChild>
                </w:div>
                <w:div w:id="1552498309">
                  <w:marLeft w:val="0"/>
                  <w:marRight w:val="0"/>
                  <w:marTop w:val="0"/>
                  <w:marBottom w:val="0"/>
                  <w:divBdr>
                    <w:top w:val="none" w:sz="0" w:space="0" w:color="auto"/>
                    <w:left w:val="none" w:sz="0" w:space="0" w:color="auto"/>
                    <w:bottom w:val="none" w:sz="0" w:space="0" w:color="auto"/>
                    <w:right w:val="none" w:sz="0" w:space="0" w:color="auto"/>
                  </w:divBdr>
                  <w:divsChild>
                    <w:div w:id="1553690841">
                      <w:marLeft w:val="0"/>
                      <w:marRight w:val="0"/>
                      <w:marTop w:val="0"/>
                      <w:marBottom w:val="0"/>
                      <w:divBdr>
                        <w:top w:val="none" w:sz="0" w:space="0" w:color="auto"/>
                        <w:left w:val="none" w:sz="0" w:space="0" w:color="auto"/>
                        <w:bottom w:val="none" w:sz="0" w:space="0" w:color="auto"/>
                        <w:right w:val="none" w:sz="0" w:space="0" w:color="auto"/>
                      </w:divBdr>
                    </w:div>
                  </w:divsChild>
                </w:div>
                <w:div w:id="1216233878">
                  <w:marLeft w:val="0"/>
                  <w:marRight w:val="0"/>
                  <w:marTop w:val="0"/>
                  <w:marBottom w:val="0"/>
                  <w:divBdr>
                    <w:top w:val="none" w:sz="0" w:space="0" w:color="auto"/>
                    <w:left w:val="none" w:sz="0" w:space="0" w:color="auto"/>
                    <w:bottom w:val="none" w:sz="0" w:space="0" w:color="auto"/>
                    <w:right w:val="none" w:sz="0" w:space="0" w:color="auto"/>
                  </w:divBdr>
                  <w:divsChild>
                    <w:div w:id="398289305">
                      <w:marLeft w:val="0"/>
                      <w:marRight w:val="0"/>
                      <w:marTop w:val="0"/>
                      <w:marBottom w:val="0"/>
                      <w:divBdr>
                        <w:top w:val="none" w:sz="0" w:space="0" w:color="auto"/>
                        <w:left w:val="none" w:sz="0" w:space="0" w:color="auto"/>
                        <w:bottom w:val="none" w:sz="0" w:space="0" w:color="auto"/>
                        <w:right w:val="none" w:sz="0" w:space="0" w:color="auto"/>
                      </w:divBdr>
                    </w:div>
                  </w:divsChild>
                </w:div>
                <w:div w:id="1019938905">
                  <w:marLeft w:val="0"/>
                  <w:marRight w:val="0"/>
                  <w:marTop w:val="0"/>
                  <w:marBottom w:val="0"/>
                  <w:divBdr>
                    <w:top w:val="none" w:sz="0" w:space="0" w:color="auto"/>
                    <w:left w:val="none" w:sz="0" w:space="0" w:color="auto"/>
                    <w:bottom w:val="none" w:sz="0" w:space="0" w:color="auto"/>
                    <w:right w:val="none" w:sz="0" w:space="0" w:color="auto"/>
                  </w:divBdr>
                  <w:divsChild>
                    <w:div w:id="1169717325">
                      <w:marLeft w:val="0"/>
                      <w:marRight w:val="0"/>
                      <w:marTop w:val="0"/>
                      <w:marBottom w:val="0"/>
                      <w:divBdr>
                        <w:top w:val="none" w:sz="0" w:space="0" w:color="auto"/>
                        <w:left w:val="none" w:sz="0" w:space="0" w:color="auto"/>
                        <w:bottom w:val="none" w:sz="0" w:space="0" w:color="auto"/>
                        <w:right w:val="none" w:sz="0" w:space="0" w:color="auto"/>
                      </w:divBdr>
                    </w:div>
                  </w:divsChild>
                </w:div>
                <w:div w:id="243295758">
                  <w:marLeft w:val="0"/>
                  <w:marRight w:val="0"/>
                  <w:marTop w:val="0"/>
                  <w:marBottom w:val="0"/>
                  <w:divBdr>
                    <w:top w:val="none" w:sz="0" w:space="0" w:color="auto"/>
                    <w:left w:val="none" w:sz="0" w:space="0" w:color="auto"/>
                    <w:bottom w:val="none" w:sz="0" w:space="0" w:color="auto"/>
                    <w:right w:val="none" w:sz="0" w:space="0" w:color="auto"/>
                  </w:divBdr>
                  <w:divsChild>
                    <w:div w:id="1282611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79355">
              <w:marLeft w:val="0"/>
              <w:marRight w:val="0"/>
              <w:marTop w:val="0"/>
              <w:marBottom w:val="0"/>
              <w:divBdr>
                <w:top w:val="none" w:sz="0" w:space="0" w:color="auto"/>
                <w:left w:val="none" w:sz="0" w:space="0" w:color="auto"/>
                <w:bottom w:val="none" w:sz="0" w:space="0" w:color="auto"/>
                <w:right w:val="none" w:sz="0" w:space="0" w:color="auto"/>
              </w:divBdr>
              <w:divsChild>
                <w:div w:id="526867377">
                  <w:marLeft w:val="0"/>
                  <w:marRight w:val="0"/>
                  <w:marTop w:val="0"/>
                  <w:marBottom w:val="0"/>
                  <w:divBdr>
                    <w:top w:val="none" w:sz="0" w:space="0" w:color="auto"/>
                    <w:left w:val="none" w:sz="0" w:space="0" w:color="auto"/>
                    <w:bottom w:val="none" w:sz="0" w:space="0" w:color="auto"/>
                    <w:right w:val="none" w:sz="0" w:space="0" w:color="auto"/>
                  </w:divBdr>
                </w:div>
                <w:div w:id="968785031">
                  <w:marLeft w:val="0"/>
                  <w:marRight w:val="0"/>
                  <w:marTop w:val="0"/>
                  <w:marBottom w:val="0"/>
                  <w:divBdr>
                    <w:top w:val="none" w:sz="0" w:space="0" w:color="auto"/>
                    <w:left w:val="none" w:sz="0" w:space="0" w:color="auto"/>
                    <w:bottom w:val="none" w:sz="0" w:space="0" w:color="auto"/>
                    <w:right w:val="none" w:sz="0" w:space="0" w:color="auto"/>
                  </w:divBdr>
                </w:div>
                <w:div w:id="1729524173">
                  <w:marLeft w:val="0"/>
                  <w:marRight w:val="0"/>
                  <w:marTop w:val="0"/>
                  <w:marBottom w:val="0"/>
                  <w:divBdr>
                    <w:top w:val="none" w:sz="0" w:space="0" w:color="auto"/>
                    <w:left w:val="none" w:sz="0" w:space="0" w:color="auto"/>
                    <w:bottom w:val="none" w:sz="0" w:space="0" w:color="auto"/>
                    <w:right w:val="none" w:sz="0" w:space="0" w:color="auto"/>
                  </w:divBdr>
                </w:div>
                <w:div w:id="1771923494">
                  <w:marLeft w:val="0"/>
                  <w:marRight w:val="0"/>
                  <w:marTop w:val="0"/>
                  <w:marBottom w:val="0"/>
                  <w:divBdr>
                    <w:top w:val="none" w:sz="0" w:space="0" w:color="auto"/>
                    <w:left w:val="none" w:sz="0" w:space="0" w:color="auto"/>
                    <w:bottom w:val="none" w:sz="0" w:space="0" w:color="auto"/>
                    <w:right w:val="none" w:sz="0" w:space="0" w:color="auto"/>
                  </w:divBdr>
                </w:div>
                <w:div w:id="581450673">
                  <w:marLeft w:val="0"/>
                  <w:marRight w:val="0"/>
                  <w:marTop w:val="0"/>
                  <w:marBottom w:val="0"/>
                  <w:divBdr>
                    <w:top w:val="none" w:sz="0" w:space="0" w:color="auto"/>
                    <w:left w:val="none" w:sz="0" w:space="0" w:color="auto"/>
                    <w:bottom w:val="none" w:sz="0" w:space="0" w:color="auto"/>
                    <w:right w:val="none" w:sz="0" w:space="0" w:color="auto"/>
                  </w:divBdr>
                </w:div>
              </w:divsChild>
            </w:div>
            <w:div w:id="312608699">
              <w:marLeft w:val="0"/>
              <w:marRight w:val="0"/>
              <w:marTop w:val="0"/>
              <w:marBottom w:val="0"/>
              <w:divBdr>
                <w:top w:val="none" w:sz="0" w:space="0" w:color="auto"/>
                <w:left w:val="none" w:sz="0" w:space="0" w:color="auto"/>
                <w:bottom w:val="none" w:sz="0" w:space="0" w:color="auto"/>
                <w:right w:val="none" w:sz="0" w:space="0" w:color="auto"/>
              </w:divBdr>
            </w:div>
          </w:divsChild>
        </w:div>
        <w:div w:id="335620656">
          <w:marLeft w:val="0"/>
          <w:marRight w:val="0"/>
          <w:marTop w:val="0"/>
          <w:marBottom w:val="0"/>
          <w:divBdr>
            <w:top w:val="none" w:sz="0" w:space="0" w:color="auto"/>
            <w:left w:val="none" w:sz="0" w:space="0" w:color="auto"/>
            <w:bottom w:val="none" w:sz="0" w:space="0" w:color="auto"/>
            <w:right w:val="none" w:sz="0" w:space="0" w:color="auto"/>
          </w:divBdr>
          <w:divsChild>
            <w:div w:id="440539602">
              <w:marLeft w:val="0"/>
              <w:marRight w:val="0"/>
              <w:marTop w:val="0"/>
              <w:marBottom w:val="0"/>
              <w:divBdr>
                <w:top w:val="none" w:sz="0" w:space="0" w:color="auto"/>
                <w:left w:val="none" w:sz="0" w:space="0" w:color="auto"/>
                <w:bottom w:val="none" w:sz="0" w:space="0" w:color="auto"/>
                <w:right w:val="none" w:sz="0" w:space="0" w:color="auto"/>
              </w:divBdr>
              <w:divsChild>
                <w:div w:id="851839814">
                  <w:marLeft w:val="0"/>
                  <w:marRight w:val="0"/>
                  <w:marTop w:val="0"/>
                  <w:marBottom w:val="0"/>
                  <w:divBdr>
                    <w:top w:val="none" w:sz="0" w:space="0" w:color="auto"/>
                    <w:left w:val="none" w:sz="0" w:space="0" w:color="auto"/>
                    <w:bottom w:val="none" w:sz="0" w:space="0" w:color="auto"/>
                    <w:right w:val="none" w:sz="0" w:space="0" w:color="auto"/>
                  </w:divBdr>
                  <w:divsChild>
                    <w:div w:id="1751459554">
                      <w:marLeft w:val="0"/>
                      <w:marRight w:val="0"/>
                      <w:marTop w:val="0"/>
                      <w:marBottom w:val="0"/>
                      <w:divBdr>
                        <w:top w:val="none" w:sz="0" w:space="0" w:color="auto"/>
                        <w:left w:val="none" w:sz="0" w:space="0" w:color="auto"/>
                        <w:bottom w:val="none" w:sz="0" w:space="0" w:color="auto"/>
                        <w:right w:val="none" w:sz="0" w:space="0" w:color="auto"/>
                      </w:divBdr>
                      <w:divsChild>
                        <w:div w:id="2095786289">
                          <w:marLeft w:val="0"/>
                          <w:marRight w:val="0"/>
                          <w:marTop w:val="0"/>
                          <w:marBottom w:val="0"/>
                          <w:divBdr>
                            <w:top w:val="none" w:sz="0" w:space="0" w:color="auto"/>
                            <w:left w:val="none" w:sz="0" w:space="0" w:color="auto"/>
                            <w:bottom w:val="none" w:sz="0" w:space="0" w:color="auto"/>
                            <w:right w:val="none" w:sz="0" w:space="0" w:color="auto"/>
                          </w:divBdr>
                          <w:divsChild>
                            <w:div w:id="732847878">
                              <w:marLeft w:val="0"/>
                              <w:marRight w:val="0"/>
                              <w:marTop w:val="0"/>
                              <w:marBottom w:val="0"/>
                              <w:divBdr>
                                <w:top w:val="none" w:sz="0" w:space="0" w:color="auto"/>
                                <w:left w:val="none" w:sz="0" w:space="0" w:color="auto"/>
                                <w:bottom w:val="none" w:sz="0" w:space="0" w:color="auto"/>
                                <w:right w:val="none" w:sz="0" w:space="0" w:color="auto"/>
                              </w:divBdr>
                            </w:div>
                            <w:div w:id="915942200">
                              <w:marLeft w:val="0"/>
                              <w:marRight w:val="0"/>
                              <w:marTop w:val="0"/>
                              <w:marBottom w:val="0"/>
                              <w:divBdr>
                                <w:top w:val="none" w:sz="0" w:space="0" w:color="auto"/>
                                <w:left w:val="none" w:sz="0" w:space="0" w:color="auto"/>
                                <w:bottom w:val="none" w:sz="0" w:space="0" w:color="auto"/>
                                <w:right w:val="none" w:sz="0" w:space="0" w:color="auto"/>
                              </w:divBdr>
                            </w:div>
                            <w:div w:id="359551686">
                              <w:marLeft w:val="0"/>
                              <w:marRight w:val="0"/>
                              <w:marTop w:val="0"/>
                              <w:marBottom w:val="0"/>
                              <w:divBdr>
                                <w:top w:val="none" w:sz="0" w:space="0" w:color="auto"/>
                                <w:left w:val="none" w:sz="0" w:space="0" w:color="auto"/>
                                <w:bottom w:val="none" w:sz="0" w:space="0" w:color="auto"/>
                                <w:right w:val="none" w:sz="0" w:space="0" w:color="auto"/>
                              </w:divBdr>
                            </w:div>
                            <w:div w:id="409154063">
                              <w:marLeft w:val="0"/>
                              <w:marRight w:val="0"/>
                              <w:marTop w:val="0"/>
                              <w:marBottom w:val="0"/>
                              <w:divBdr>
                                <w:top w:val="none" w:sz="0" w:space="0" w:color="auto"/>
                                <w:left w:val="none" w:sz="0" w:space="0" w:color="auto"/>
                                <w:bottom w:val="none" w:sz="0" w:space="0" w:color="auto"/>
                                <w:right w:val="none" w:sz="0" w:space="0" w:color="auto"/>
                              </w:divBdr>
                            </w:div>
                            <w:div w:id="135951083">
                              <w:marLeft w:val="0"/>
                              <w:marRight w:val="0"/>
                              <w:marTop w:val="0"/>
                              <w:marBottom w:val="0"/>
                              <w:divBdr>
                                <w:top w:val="none" w:sz="0" w:space="0" w:color="auto"/>
                                <w:left w:val="none" w:sz="0" w:space="0" w:color="auto"/>
                                <w:bottom w:val="none" w:sz="0" w:space="0" w:color="auto"/>
                                <w:right w:val="none" w:sz="0" w:space="0" w:color="auto"/>
                              </w:divBdr>
                            </w:div>
                            <w:div w:id="950166335">
                              <w:marLeft w:val="0"/>
                              <w:marRight w:val="0"/>
                              <w:marTop w:val="0"/>
                              <w:marBottom w:val="0"/>
                              <w:divBdr>
                                <w:top w:val="none" w:sz="0" w:space="0" w:color="auto"/>
                                <w:left w:val="none" w:sz="0" w:space="0" w:color="auto"/>
                                <w:bottom w:val="none" w:sz="0" w:space="0" w:color="auto"/>
                                <w:right w:val="none" w:sz="0" w:space="0" w:color="auto"/>
                              </w:divBdr>
                            </w:div>
                          </w:divsChild>
                        </w:div>
                        <w:div w:id="956789420">
                          <w:marLeft w:val="0"/>
                          <w:marRight w:val="0"/>
                          <w:marTop w:val="0"/>
                          <w:marBottom w:val="0"/>
                          <w:divBdr>
                            <w:top w:val="none" w:sz="0" w:space="0" w:color="auto"/>
                            <w:left w:val="none" w:sz="0" w:space="0" w:color="auto"/>
                            <w:bottom w:val="none" w:sz="0" w:space="0" w:color="auto"/>
                            <w:right w:val="none" w:sz="0" w:space="0" w:color="auto"/>
                          </w:divBdr>
                          <w:divsChild>
                            <w:div w:id="1997757034">
                              <w:marLeft w:val="0"/>
                              <w:marRight w:val="0"/>
                              <w:marTop w:val="0"/>
                              <w:marBottom w:val="0"/>
                              <w:divBdr>
                                <w:top w:val="none" w:sz="0" w:space="0" w:color="auto"/>
                                <w:left w:val="none" w:sz="0" w:space="0" w:color="auto"/>
                                <w:bottom w:val="none" w:sz="0" w:space="0" w:color="auto"/>
                                <w:right w:val="none" w:sz="0" w:space="0" w:color="auto"/>
                              </w:divBdr>
                            </w:div>
                            <w:div w:id="796920389">
                              <w:marLeft w:val="0"/>
                              <w:marRight w:val="0"/>
                              <w:marTop w:val="0"/>
                              <w:marBottom w:val="0"/>
                              <w:divBdr>
                                <w:top w:val="none" w:sz="0" w:space="0" w:color="auto"/>
                                <w:left w:val="none" w:sz="0" w:space="0" w:color="auto"/>
                                <w:bottom w:val="none" w:sz="0" w:space="0" w:color="auto"/>
                                <w:right w:val="none" w:sz="0" w:space="0" w:color="auto"/>
                              </w:divBdr>
                            </w:div>
                            <w:div w:id="302662320">
                              <w:marLeft w:val="0"/>
                              <w:marRight w:val="0"/>
                              <w:marTop w:val="0"/>
                              <w:marBottom w:val="0"/>
                              <w:divBdr>
                                <w:top w:val="none" w:sz="0" w:space="0" w:color="auto"/>
                                <w:left w:val="none" w:sz="0" w:space="0" w:color="auto"/>
                                <w:bottom w:val="none" w:sz="0" w:space="0" w:color="auto"/>
                                <w:right w:val="none" w:sz="0" w:space="0" w:color="auto"/>
                              </w:divBdr>
                            </w:div>
                            <w:div w:id="1796948427">
                              <w:marLeft w:val="0"/>
                              <w:marRight w:val="0"/>
                              <w:marTop w:val="0"/>
                              <w:marBottom w:val="0"/>
                              <w:divBdr>
                                <w:top w:val="none" w:sz="0" w:space="0" w:color="auto"/>
                                <w:left w:val="none" w:sz="0" w:space="0" w:color="auto"/>
                                <w:bottom w:val="none" w:sz="0" w:space="0" w:color="auto"/>
                                <w:right w:val="none" w:sz="0" w:space="0" w:color="auto"/>
                              </w:divBdr>
                            </w:div>
                            <w:div w:id="39755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ncbi.nlm.nih.gov/pubmed/16085391" TargetMode="External"/><Relationship Id="rId21" Type="http://schemas.openxmlformats.org/officeDocument/2006/relationships/hyperlink" Target="https://www.aging-us.com/article/204598/text" TargetMode="External"/><Relationship Id="rId42" Type="http://schemas.openxmlformats.org/officeDocument/2006/relationships/hyperlink" Target="https://www.aging-us.com/article/204598/text" TargetMode="External"/><Relationship Id="rId63" Type="http://schemas.openxmlformats.org/officeDocument/2006/relationships/hyperlink" Target="https://www.aging-us.com/article/204598/text" TargetMode="External"/><Relationship Id="rId84" Type="http://schemas.openxmlformats.org/officeDocument/2006/relationships/hyperlink" Target="https://www.aging-us.com/article/204598/text" TargetMode="External"/><Relationship Id="rId138" Type="http://schemas.openxmlformats.org/officeDocument/2006/relationships/hyperlink" Target="https://iopscience.iop.org/article/10.1088/1674-1056/ac4e0e?utm_source=trendmd&amp;utm_campaign=china&amp;utm_medium=cpc" TargetMode="External"/><Relationship Id="rId16" Type="http://schemas.openxmlformats.org/officeDocument/2006/relationships/hyperlink" Target="https://www.aging-us.com/article/204598/text" TargetMode="External"/><Relationship Id="rId107" Type="http://schemas.openxmlformats.org/officeDocument/2006/relationships/hyperlink" Target="http://www.ncbi.nlm.nih.gov/pubmed/32514352" TargetMode="External"/><Relationship Id="rId11" Type="http://schemas.openxmlformats.org/officeDocument/2006/relationships/hyperlink" Target="https://www.aging-us.com/article/204598/text" TargetMode="External"/><Relationship Id="rId32" Type="http://schemas.openxmlformats.org/officeDocument/2006/relationships/hyperlink" Target="https://www.aging-us.com/figure/204598/f1" TargetMode="External"/><Relationship Id="rId37" Type="http://schemas.openxmlformats.org/officeDocument/2006/relationships/hyperlink" Target="https://www.aging-us.com/article/204598/text" TargetMode="External"/><Relationship Id="rId53" Type="http://schemas.openxmlformats.org/officeDocument/2006/relationships/hyperlink" Target="https://www.aging-us.com/article/204598/text" TargetMode="External"/><Relationship Id="rId58" Type="http://schemas.openxmlformats.org/officeDocument/2006/relationships/hyperlink" Target="https://www.aging-us.com/article/204598/text" TargetMode="External"/><Relationship Id="rId74" Type="http://schemas.openxmlformats.org/officeDocument/2006/relationships/hyperlink" Target="https://www.aging-us.com/article/204598/text" TargetMode="External"/><Relationship Id="rId79" Type="http://schemas.openxmlformats.org/officeDocument/2006/relationships/hyperlink" Target="https://www.aging-us.com/article/204598/text" TargetMode="External"/><Relationship Id="rId102" Type="http://schemas.openxmlformats.org/officeDocument/2006/relationships/hyperlink" Target="https://doi.org/10.1093/annonc/mdz011" TargetMode="External"/><Relationship Id="rId123" Type="http://schemas.openxmlformats.org/officeDocument/2006/relationships/hyperlink" Target="https://doi.org/10.1038/nature13954" TargetMode="External"/><Relationship Id="rId128" Type="http://schemas.openxmlformats.org/officeDocument/2006/relationships/hyperlink" Target="http://www.ncbi.nlm.nih.gov/pubmed/28956065" TargetMode="External"/><Relationship Id="rId5" Type="http://schemas.openxmlformats.org/officeDocument/2006/relationships/hyperlink" Target="https://www.aging-us.com/issue/v15i6" TargetMode="External"/><Relationship Id="rId90" Type="http://schemas.openxmlformats.org/officeDocument/2006/relationships/hyperlink" Target="https://www.aging-us.com/article/204598/supplementary/SD1/0/aging-v15i6-204598-supplementary-material-SD1.pdf" TargetMode="External"/><Relationship Id="rId95" Type="http://schemas.openxmlformats.org/officeDocument/2006/relationships/hyperlink" Target="http://www.ncbi.nlm.nih.gov/pubmed/33600556" TargetMode="External"/><Relationship Id="rId22" Type="http://schemas.openxmlformats.org/officeDocument/2006/relationships/hyperlink" Target="https://www.aging-us.com/article/204598/text" TargetMode="External"/><Relationship Id="rId27" Type="http://schemas.openxmlformats.org/officeDocument/2006/relationships/hyperlink" Target="https://www.aging-us.com/article/204598/text" TargetMode="External"/><Relationship Id="rId43" Type="http://schemas.openxmlformats.org/officeDocument/2006/relationships/hyperlink" Target="https://www.aging-us.com/article/204598/text" TargetMode="External"/><Relationship Id="rId48" Type="http://schemas.openxmlformats.org/officeDocument/2006/relationships/hyperlink" Target="https://www.aging-us.com/article/204598/text" TargetMode="External"/><Relationship Id="rId64" Type="http://schemas.openxmlformats.org/officeDocument/2006/relationships/hyperlink" Target="https://www.aging-us.com/article/204598/text" TargetMode="External"/><Relationship Id="rId69" Type="http://schemas.openxmlformats.org/officeDocument/2006/relationships/hyperlink" Target="https://www.aging-us.com/article/204598/text" TargetMode="External"/><Relationship Id="rId113" Type="http://schemas.openxmlformats.org/officeDocument/2006/relationships/hyperlink" Target="http://www.ncbi.nlm.nih.gov/pubmed/25494202" TargetMode="External"/><Relationship Id="rId118" Type="http://schemas.openxmlformats.org/officeDocument/2006/relationships/hyperlink" Target="https://doi.org/10.1038/nature10600" TargetMode="External"/><Relationship Id="rId134" Type="http://schemas.openxmlformats.org/officeDocument/2006/relationships/hyperlink" Target="https://iopscience.iop.org/article/10.1088/1674-1056/ac20cc?utm_source=trendmd&amp;utm_campaign=china&amp;utm_medium=cpc" TargetMode="External"/><Relationship Id="rId139" Type="http://schemas.openxmlformats.org/officeDocument/2006/relationships/fontTable" Target="fontTable.xml"/><Relationship Id="rId80" Type="http://schemas.openxmlformats.org/officeDocument/2006/relationships/hyperlink" Target="https://www.aging-us.com/article/204598/text" TargetMode="External"/><Relationship Id="rId85" Type="http://schemas.openxmlformats.org/officeDocument/2006/relationships/hyperlink" Target="https://www.aging-us.com/article/204598/text" TargetMode="External"/><Relationship Id="rId12" Type="http://schemas.openxmlformats.org/officeDocument/2006/relationships/hyperlink" Target="https://www.aging-us.com/article/204598/text" TargetMode="External"/><Relationship Id="rId17" Type="http://schemas.openxmlformats.org/officeDocument/2006/relationships/hyperlink" Target="https://www.aging-us.com/article/204598/text" TargetMode="External"/><Relationship Id="rId33" Type="http://schemas.openxmlformats.org/officeDocument/2006/relationships/image" Target="media/image1.png"/><Relationship Id="rId38" Type="http://schemas.openxmlformats.org/officeDocument/2006/relationships/hyperlink" Target="https://www.aging-us.com/article/204598/text" TargetMode="External"/><Relationship Id="rId59" Type="http://schemas.openxmlformats.org/officeDocument/2006/relationships/hyperlink" Target="https://www.aging-us.com/article/204598/text" TargetMode="External"/><Relationship Id="rId103" Type="http://schemas.openxmlformats.org/officeDocument/2006/relationships/hyperlink" Target="http://www.ncbi.nlm.nih.gov/pubmed/30715153" TargetMode="External"/><Relationship Id="rId108" Type="http://schemas.openxmlformats.org/officeDocument/2006/relationships/hyperlink" Target="https://doi.org/10.1073/pnas.1817147116" TargetMode="External"/><Relationship Id="rId124" Type="http://schemas.openxmlformats.org/officeDocument/2006/relationships/hyperlink" Target="http://www.ncbi.nlm.nih.gov/pubmed/25428505" TargetMode="External"/><Relationship Id="rId129" Type="http://schemas.openxmlformats.org/officeDocument/2006/relationships/hyperlink" Target="https://www.aging-us.com/article/204583/text?utm_source=TrendMD&amp;utm_medium=cpc&amp;utm_campaign=Aging_TrendMD_0" TargetMode="External"/><Relationship Id="rId54" Type="http://schemas.openxmlformats.org/officeDocument/2006/relationships/hyperlink" Target="https://www.aging-us.com/article/204598/text" TargetMode="External"/><Relationship Id="rId70" Type="http://schemas.openxmlformats.org/officeDocument/2006/relationships/hyperlink" Target="https://www.aging-us.com/figure/204598/f4" TargetMode="External"/><Relationship Id="rId75" Type="http://schemas.openxmlformats.org/officeDocument/2006/relationships/hyperlink" Target="https://www.aging-us.com/article/204598/text" TargetMode="External"/><Relationship Id="rId91" Type="http://schemas.openxmlformats.org/officeDocument/2006/relationships/hyperlink" Target="https://www.aging-us.com/article/204598/supplementary/SD2/0/aging-v15i6-204598-supplementary-material-SD2.pdf" TargetMode="External"/><Relationship Id="rId96" Type="http://schemas.openxmlformats.org/officeDocument/2006/relationships/hyperlink" Target="https://doi.org/10.1186/s40425-018-0316-z" TargetMode="External"/><Relationship Id="rId14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aging-us.com/article/204598/text" TargetMode="External"/><Relationship Id="rId23" Type="http://schemas.openxmlformats.org/officeDocument/2006/relationships/hyperlink" Target="https://www.aging-us.com/article/204598/text" TargetMode="External"/><Relationship Id="rId28" Type="http://schemas.openxmlformats.org/officeDocument/2006/relationships/hyperlink" Target="https://www.aging-us.com/article/204598/text" TargetMode="External"/><Relationship Id="rId49" Type="http://schemas.openxmlformats.org/officeDocument/2006/relationships/hyperlink" Target="https://www.aging-us.com/article/204598/text" TargetMode="External"/><Relationship Id="rId114" Type="http://schemas.openxmlformats.org/officeDocument/2006/relationships/hyperlink" Target="https://doi.org/10.1165/rcmb.2004-0129OC" TargetMode="External"/><Relationship Id="rId119" Type="http://schemas.openxmlformats.org/officeDocument/2006/relationships/hyperlink" Target="http://www.ncbi.nlm.nih.gov/pubmed/22048312" TargetMode="External"/><Relationship Id="rId44" Type="http://schemas.openxmlformats.org/officeDocument/2006/relationships/hyperlink" Target="https://www.aging-us.com/article/204598/text" TargetMode="External"/><Relationship Id="rId60" Type="http://schemas.openxmlformats.org/officeDocument/2006/relationships/hyperlink" Target="https://www.aging-us.com/article/204598/text" TargetMode="External"/><Relationship Id="rId65" Type="http://schemas.openxmlformats.org/officeDocument/2006/relationships/hyperlink" Target="https://www.aging-us.com/article/204598/text" TargetMode="External"/><Relationship Id="rId81" Type="http://schemas.openxmlformats.org/officeDocument/2006/relationships/hyperlink" Target="https://www.aging-us.com/article/204598/text" TargetMode="External"/><Relationship Id="rId86" Type="http://schemas.openxmlformats.org/officeDocument/2006/relationships/hyperlink" Target="https://www.aging-us.com/article/204598/text" TargetMode="External"/><Relationship Id="rId130" Type="http://schemas.openxmlformats.org/officeDocument/2006/relationships/hyperlink" Target="https://www.aging-us.com/article/205052?utm_source=TrendMD&amp;utm_medium=cpc&amp;utm_campaign=Aging_TrendMD_0" TargetMode="External"/><Relationship Id="rId135" Type="http://schemas.openxmlformats.org/officeDocument/2006/relationships/hyperlink" Target="https://manu56.magtech.com.cn/progchem/CN/10.7536/PC220220?utm_source=TrendMD&amp;utm_medium=cpc&amp;utm_campaign=Progress_in_Chemistry_TrendMD_1" TargetMode="External"/><Relationship Id="rId13" Type="http://schemas.openxmlformats.org/officeDocument/2006/relationships/hyperlink" Target="https://www.aging-us.com/article/204598/text" TargetMode="External"/><Relationship Id="rId18" Type="http://schemas.openxmlformats.org/officeDocument/2006/relationships/hyperlink" Target="https://www.aging-us.com/article/204598/text" TargetMode="External"/><Relationship Id="rId39" Type="http://schemas.openxmlformats.org/officeDocument/2006/relationships/hyperlink" Target="https://www.aging-us.com/article/204598/text" TargetMode="External"/><Relationship Id="rId109" Type="http://schemas.openxmlformats.org/officeDocument/2006/relationships/hyperlink" Target="http://www.ncbi.nlm.nih.gov/pubmed/30936321" TargetMode="External"/><Relationship Id="rId34" Type="http://schemas.openxmlformats.org/officeDocument/2006/relationships/hyperlink" Target="https://www.aging-us.com/article/204598/text" TargetMode="External"/><Relationship Id="rId50" Type="http://schemas.openxmlformats.org/officeDocument/2006/relationships/hyperlink" Target="https://www.aging-us.com/article/204598/text" TargetMode="External"/><Relationship Id="rId55" Type="http://schemas.openxmlformats.org/officeDocument/2006/relationships/hyperlink" Target="https://www.aging-us.com/article/204598/text" TargetMode="External"/><Relationship Id="rId76" Type="http://schemas.openxmlformats.org/officeDocument/2006/relationships/hyperlink" Target="https://www.aging-us.com/article/204598/text" TargetMode="External"/><Relationship Id="rId97" Type="http://schemas.openxmlformats.org/officeDocument/2006/relationships/hyperlink" Target="http://www.ncbi.nlm.nih.gov/pubmed/29357948" TargetMode="External"/><Relationship Id="rId104" Type="http://schemas.openxmlformats.org/officeDocument/2006/relationships/hyperlink" Target="https://doi.org/10.1016/j.cell.2017.01.017" TargetMode="External"/><Relationship Id="rId120" Type="http://schemas.openxmlformats.org/officeDocument/2006/relationships/hyperlink" Target="https://doi.org/10.2337/db07-1631" TargetMode="External"/><Relationship Id="rId125" Type="http://schemas.openxmlformats.org/officeDocument/2006/relationships/hyperlink" Target="https://doi.org/10.1084/jem.20160801" TargetMode="External"/><Relationship Id="rId7" Type="http://schemas.openxmlformats.org/officeDocument/2006/relationships/hyperlink" Target="https://www.aging-us.com/article/204598/text" TargetMode="External"/><Relationship Id="rId71" Type="http://schemas.openxmlformats.org/officeDocument/2006/relationships/image" Target="media/image4.png"/><Relationship Id="rId92" Type="http://schemas.openxmlformats.org/officeDocument/2006/relationships/hyperlink" Target="https://doi.org/10.1146/annurev.immunol.021908.132706" TargetMode="External"/><Relationship Id="rId2" Type="http://schemas.openxmlformats.org/officeDocument/2006/relationships/styles" Target="styles.xml"/><Relationship Id="rId29" Type="http://schemas.openxmlformats.org/officeDocument/2006/relationships/hyperlink" Target="https://www.aging-us.com/article/204598/text" TargetMode="External"/><Relationship Id="rId24" Type="http://schemas.openxmlformats.org/officeDocument/2006/relationships/hyperlink" Target="https://www.aging-us.com/article/204598/text" TargetMode="External"/><Relationship Id="rId40" Type="http://schemas.openxmlformats.org/officeDocument/2006/relationships/hyperlink" Target="https://www.aging-us.com/article/204598/text" TargetMode="External"/><Relationship Id="rId45" Type="http://schemas.openxmlformats.org/officeDocument/2006/relationships/hyperlink" Target="https://www.aging-us.com/article/204598/text" TargetMode="External"/><Relationship Id="rId66" Type="http://schemas.openxmlformats.org/officeDocument/2006/relationships/hyperlink" Target="https://www.aging-us.com/article/204598/text" TargetMode="External"/><Relationship Id="rId87" Type="http://schemas.openxmlformats.org/officeDocument/2006/relationships/hyperlink" Target="https://www.aging-us.com/figure/204598/f5" TargetMode="External"/><Relationship Id="rId110" Type="http://schemas.openxmlformats.org/officeDocument/2006/relationships/hyperlink" Target="https://doi.org/10.1038/nm1262" TargetMode="External"/><Relationship Id="rId115" Type="http://schemas.openxmlformats.org/officeDocument/2006/relationships/hyperlink" Target="http://www.ncbi.nlm.nih.gov/pubmed/15961727" TargetMode="External"/><Relationship Id="rId131" Type="http://schemas.openxmlformats.org/officeDocument/2006/relationships/hyperlink" Target="https://www.aging-us.com/article/202578/text?utm_source=TrendMD&amp;utm_medium=cpc&amp;utm_campaign=Aging_TrendMD_0" TargetMode="External"/><Relationship Id="rId136" Type="http://schemas.openxmlformats.org/officeDocument/2006/relationships/hyperlink" Target="https://iopscience.iop.org/article/10.1088/1674-1056/ac3814?utm_source=trendmd&amp;utm_campaign=china&amp;utm_medium=cpc" TargetMode="External"/><Relationship Id="rId61" Type="http://schemas.openxmlformats.org/officeDocument/2006/relationships/hyperlink" Target="https://www.aging-us.com/article/204598/text" TargetMode="External"/><Relationship Id="rId82" Type="http://schemas.openxmlformats.org/officeDocument/2006/relationships/hyperlink" Target="https://www.aging-us.com/article/204598/text" TargetMode="External"/><Relationship Id="rId19" Type="http://schemas.openxmlformats.org/officeDocument/2006/relationships/hyperlink" Target="https://www.aging-us.com/article/204598/text" TargetMode="External"/><Relationship Id="rId14" Type="http://schemas.openxmlformats.org/officeDocument/2006/relationships/hyperlink" Target="https://doi.org/10.18632/aging.204598" TargetMode="External"/><Relationship Id="rId30" Type="http://schemas.openxmlformats.org/officeDocument/2006/relationships/hyperlink" Target="https://www.aging-us.com/article/204598/text" TargetMode="External"/><Relationship Id="rId35" Type="http://schemas.openxmlformats.org/officeDocument/2006/relationships/hyperlink" Target="https://www.aging-us.com/article/204598/text" TargetMode="External"/><Relationship Id="rId56" Type="http://schemas.openxmlformats.org/officeDocument/2006/relationships/hyperlink" Target="https://www.aging-us.com/figure/204598/f3" TargetMode="External"/><Relationship Id="rId77" Type="http://schemas.openxmlformats.org/officeDocument/2006/relationships/hyperlink" Target="https://www.aging-us.com/article/204598/text" TargetMode="External"/><Relationship Id="rId100" Type="http://schemas.openxmlformats.org/officeDocument/2006/relationships/hyperlink" Target="https://doi.org/10.1200/JCO.19.00934" TargetMode="External"/><Relationship Id="rId105" Type="http://schemas.openxmlformats.org/officeDocument/2006/relationships/hyperlink" Target="http://www.ncbi.nlm.nih.gov/pubmed/28187290" TargetMode="External"/><Relationship Id="rId126" Type="http://schemas.openxmlformats.org/officeDocument/2006/relationships/hyperlink" Target="http://www.ncbi.nlm.nih.gov/pubmed/28302645" TargetMode="External"/><Relationship Id="rId8" Type="http://schemas.openxmlformats.org/officeDocument/2006/relationships/hyperlink" Target="https://www.aging-us.com/article/204598/text" TargetMode="External"/><Relationship Id="rId51" Type="http://schemas.openxmlformats.org/officeDocument/2006/relationships/hyperlink" Target="https://www.aging-us.com/article/204598/text" TargetMode="External"/><Relationship Id="rId72" Type="http://schemas.openxmlformats.org/officeDocument/2006/relationships/hyperlink" Target="https://www.aging-us.com/article/204598/text" TargetMode="External"/><Relationship Id="rId93" Type="http://schemas.openxmlformats.org/officeDocument/2006/relationships/hyperlink" Target="http://www.ncbi.nlm.nih.gov/pubmed/19132916" TargetMode="External"/><Relationship Id="rId98" Type="http://schemas.openxmlformats.org/officeDocument/2006/relationships/hyperlink" Target="https://doi.org/10.1016/j.immuni.2018.03.014" TargetMode="External"/><Relationship Id="rId121" Type="http://schemas.openxmlformats.org/officeDocument/2006/relationships/hyperlink" Target="http://www.ncbi.nlm.nih.gov/pubmed/18469203" TargetMode="External"/><Relationship Id="rId3" Type="http://schemas.openxmlformats.org/officeDocument/2006/relationships/settings" Target="settings.xml"/><Relationship Id="rId25" Type="http://schemas.openxmlformats.org/officeDocument/2006/relationships/hyperlink" Target="https://www.aging-us.com/article/204598/text" TargetMode="External"/><Relationship Id="rId46" Type="http://schemas.openxmlformats.org/officeDocument/2006/relationships/hyperlink" Target="https://www.aging-us.com/figure/204598/f2" TargetMode="External"/><Relationship Id="rId67" Type="http://schemas.openxmlformats.org/officeDocument/2006/relationships/hyperlink" Target="https://www.aging-us.com/article/204598/text" TargetMode="External"/><Relationship Id="rId116" Type="http://schemas.openxmlformats.org/officeDocument/2006/relationships/hyperlink" Target="https://doi.org/10.1016/j.jdermsci.2005.06.008" TargetMode="External"/><Relationship Id="rId137" Type="http://schemas.openxmlformats.org/officeDocument/2006/relationships/hyperlink" Target="https://www.ncbi.nlm.nih.gov/pmc/articles/PMC2276679/?utm_source=TrendMD&amp;utm_medium=cpc&amp;utm_campaign=Journal_of_Zhejiang_University-SCIENCE_B_(Biomedicine_%2526_Biotechnology)_TrendMD_1" TargetMode="External"/><Relationship Id="rId20" Type="http://schemas.openxmlformats.org/officeDocument/2006/relationships/hyperlink" Target="https://www.aging-us.com/article/204598/text" TargetMode="External"/><Relationship Id="rId41" Type="http://schemas.openxmlformats.org/officeDocument/2006/relationships/hyperlink" Target="https://www.aging-us.com/article/204598/text" TargetMode="External"/><Relationship Id="rId62" Type="http://schemas.openxmlformats.org/officeDocument/2006/relationships/hyperlink" Target="https://www.aging-us.com/article/204598/text" TargetMode="External"/><Relationship Id="rId83" Type="http://schemas.openxmlformats.org/officeDocument/2006/relationships/hyperlink" Target="https://www.aging-us.com/article/204598/text" TargetMode="External"/><Relationship Id="rId88" Type="http://schemas.openxmlformats.org/officeDocument/2006/relationships/image" Target="media/image5.png"/><Relationship Id="rId111" Type="http://schemas.openxmlformats.org/officeDocument/2006/relationships/hyperlink" Target="http://www.ncbi.nlm.nih.gov/pubmed/15965483" TargetMode="External"/><Relationship Id="rId132" Type="http://schemas.openxmlformats.org/officeDocument/2006/relationships/hyperlink" Target="https://www.aging-us.com/article/204380/text?utm_source=TrendMD&amp;utm_medium=cpc&amp;utm_campaign=Aging_TrendMD_0" TargetMode="External"/><Relationship Id="rId15" Type="http://schemas.openxmlformats.org/officeDocument/2006/relationships/hyperlink" Target="https://creativecommons.org/licenses/by/3.0/" TargetMode="External"/><Relationship Id="rId36" Type="http://schemas.openxmlformats.org/officeDocument/2006/relationships/hyperlink" Target="https://www.aging-us.com/article/204598/text" TargetMode="External"/><Relationship Id="rId57" Type="http://schemas.openxmlformats.org/officeDocument/2006/relationships/image" Target="media/image3.png"/><Relationship Id="rId106" Type="http://schemas.openxmlformats.org/officeDocument/2006/relationships/hyperlink" Target="https://doi.org/10.1186/s40364-020-00198-0" TargetMode="External"/><Relationship Id="rId127" Type="http://schemas.openxmlformats.org/officeDocument/2006/relationships/hyperlink" Target="https://doi.org/10.1007/s00018-017-2663-1" TargetMode="External"/><Relationship Id="rId10" Type="http://schemas.openxmlformats.org/officeDocument/2006/relationships/hyperlink" Target="https://www.aging-us.com/article/204598/text" TargetMode="External"/><Relationship Id="rId31" Type="http://schemas.openxmlformats.org/officeDocument/2006/relationships/hyperlink" Target="https://www.aging-us.com/article/204598/text" TargetMode="External"/><Relationship Id="rId52" Type="http://schemas.openxmlformats.org/officeDocument/2006/relationships/hyperlink" Target="https://www.aging-us.com/article/204598/text" TargetMode="External"/><Relationship Id="rId73" Type="http://schemas.openxmlformats.org/officeDocument/2006/relationships/hyperlink" Target="https://www.aging-us.com/article/204598/text" TargetMode="External"/><Relationship Id="rId78" Type="http://schemas.openxmlformats.org/officeDocument/2006/relationships/hyperlink" Target="https://www.aging-us.com/article/204598/text" TargetMode="External"/><Relationship Id="rId94" Type="http://schemas.openxmlformats.org/officeDocument/2006/relationships/hyperlink" Target="https://doi.org/10.1084/jem.20201979" TargetMode="External"/><Relationship Id="rId99" Type="http://schemas.openxmlformats.org/officeDocument/2006/relationships/hyperlink" Target="http://www.ncbi.nlm.nih.gov/pubmed/29562194" TargetMode="External"/><Relationship Id="rId101" Type="http://schemas.openxmlformats.org/officeDocument/2006/relationships/hyperlink" Target="http://www.ncbi.nlm.nih.gov/pubmed/31154919" TargetMode="External"/><Relationship Id="rId122" Type="http://schemas.openxmlformats.org/officeDocument/2006/relationships/hyperlink" Target="http://www.ncbi.nlm.nih.gov/pubmed/9872685" TargetMode="External"/><Relationship Id="rId4" Type="http://schemas.openxmlformats.org/officeDocument/2006/relationships/webSettings" Target="webSettings.xml"/><Relationship Id="rId9" Type="http://schemas.openxmlformats.org/officeDocument/2006/relationships/hyperlink" Target="https://www.aging-us.com/article/204598/text" TargetMode="External"/><Relationship Id="rId26" Type="http://schemas.openxmlformats.org/officeDocument/2006/relationships/hyperlink" Target="https://www.aging-us.com/article/204598/text" TargetMode="External"/><Relationship Id="rId47" Type="http://schemas.openxmlformats.org/officeDocument/2006/relationships/image" Target="media/image2.png"/><Relationship Id="rId68" Type="http://schemas.openxmlformats.org/officeDocument/2006/relationships/hyperlink" Target="https://www.aging-us.com/article/204598/text" TargetMode="External"/><Relationship Id="rId89" Type="http://schemas.openxmlformats.org/officeDocument/2006/relationships/hyperlink" Target="https://www.aging-us.com/article/204598/text" TargetMode="External"/><Relationship Id="rId112" Type="http://schemas.openxmlformats.org/officeDocument/2006/relationships/hyperlink" Target="https://doi.org/10.1038/nature14136" TargetMode="External"/><Relationship Id="rId133" Type="http://schemas.openxmlformats.org/officeDocument/2006/relationships/hyperlink" Target="https://www.aging-us.com/article/103231/text?utm_source=TrendMD&amp;utm_medium=cpc&amp;utm_campaign=Aging_TrendMD_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6435</Words>
  <Characters>35393</Characters>
  <Application>Microsoft Office Word</Application>
  <DocSecurity>0</DocSecurity>
  <Lines>294</Lines>
  <Paragraphs>83</Paragraphs>
  <ScaleCrop>false</ScaleCrop>
  <Company/>
  <LinksUpToDate>false</LinksUpToDate>
  <CharactersWithSpaces>41745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Lopez.Victoria</dc:creator>
  <cp:keywords/>
  <dc:description/>
  <cp:lastModifiedBy>Lopez.Victoria</cp:lastModifiedBy>
  <cp:revision>1</cp:revision>
  <dcterms:created xsi:type="dcterms:W3CDTF">2024-02-09T11:54:00Z</dcterms:created>
  <dcterms:modified xsi:type="dcterms:W3CDTF">2024-02-09T11:55:00Z</dcterms:modified>
</cp:coreProperties>
</file>