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8C4" w:rsidRDefault="00C678C4" w:rsidP="009F773A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Supplementary Table 1:</w:t>
      </w:r>
    </w:p>
    <w:p w:rsidR="00A328DE" w:rsidRPr="009F773A" w:rsidRDefault="003F7A03" w:rsidP="009F773A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46F38">
        <w:rPr>
          <w:rFonts w:ascii="Times New Roman" w:hAnsi="Times New Roman" w:cs="Times New Roman"/>
          <w:b/>
          <w:sz w:val="24"/>
          <w:szCs w:val="24"/>
          <w:lang w:val="en-US"/>
        </w:rPr>
        <w:t>Glyphosate exposure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r w:rsidRPr="00746F38">
        <w:rPr>
          <w:rFonts w:ascii="Times New Roman" w:hAnsi="Times New Roman" w:cs="Times New Roman"/>
          <w:b/>
          <w:sz w:val="24"/>
          <w:szCs w:val="24"/>
          <w:lang w:val="en-US"/>
        </w:rPr>
        <w:t>muscular health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functional limitations</w:t>
      </w:r>
      <w:r w:rsidRPr="00746F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middle-aged and older adults</w:t>
      </w:r>
      <w:r w:rsidR="009F773A">
        <w:rPr>
          <w:rFonts w:ascii="Times New Roman" w:hAnsi="Times New Roman" w:cs="Times New Roman"/>
          <w:b/>
          <w:sz w:val="24"/>
          <w:szCs w:val="24"/>
          <w:lang w:val="en-US"/>
        </w:rPr>
        <w:t>: Sensitivity analyses</w:t>
      </w:r>
      <w:r w:rsidRPr="00746F38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</w:p>
    <w:tbl>
      <w:tblPr>
        <w:tblStyle w:val="Tablaconcuadrcula"/>
        <w:tblW w:w="0" w:type="auto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40"/>
        <w:gridCol w:w="940"/>
        <w:gridCol w:w="1244"/>
        <w:gridCol w:w="1271"/>
        <w:gridCol w:w="1043"/>
        <w:gridCol w:w="670"/>
        <w:gridCol w:w="923"/>
        <w:gridCol w:w="1403"/>
        <w:gridCol w:w="990"/>
        <w:gridCol w:w="923"/>
        <w:gridCol w:w="923"/>
        <w:gridCol w:w="928"/>
      </w:tblGrid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C75C15" w:rsidRPr="003A55D6" w:rsidRDefault="00C75C15" w:rsidP="00C75C15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Dominant HGS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Combined HGS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Relative 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HGS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Low 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HGS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Low relative HGS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Stooping</w:t>
            </w:r>
          </w:p>
          <w:p w:rsid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/Crouching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/Kneeling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Lifting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Standing</w:t>
            </w:r>
            <w:r w:rsidR="00D57F9F"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Ascending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C75C15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C75C15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C75C15" w:rsidRPr="003A55D6" w:rsidRDefault="00C75C15" w:rsidP="00C75C15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Model 2 in main tables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C75C15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1459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1436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856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216/1459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131/856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287/1301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150/1291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91/1311</w:t>
            </w:r>
          </w:p>
        </w:tc>
        <w:tc>
          <w:tcPr>
            <w:tcW w:w="0" w:type="auto"/>
            <w:tcBorders>
              <w:top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37/1034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C75C15" w:rsidRPr="003A55D6" w:rsidRDefault="00C75C15" w:rsidP="00C75C15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C75C15" w:rsidRPr="003A55D6" w:rsidRDefault="003A55D6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-0.55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(-1.09,-0.01)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-1.17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(-2.20,-0.15)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-0.98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(-1.69,-0.28)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(1.03,1.57)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1.43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(1.05,1.94)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1.33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(1.08,1.63)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1.17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(0.91,1.50)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1.21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(1.01,1.40)</w:t>
            </w:r>
          </w:p>
        </w:tc>
        <w:tc>
          <w:tcPr>
            <w:tcW w:w="0" w:type="auto"/>
          </w:tcPr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1.47</w:t>
            </w:r>
          </w:p>
          <w:p w:rsidR="00C75C15" w:rsidRPr="003A55D6" w:rsidRDefault="00C75C15" w:rsidP="00C75C15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(1.05,2.06)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Subsample with dietary information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1233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1213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727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173/1233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114/727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248/1096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127/1091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78/1106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35/870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Model 2 in subsample with diet,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(-1.17, -0.01)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(-2.38,-0.17)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-0.96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(-1.59,-0.33)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(1.02,1.65)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(1.04, 2.03)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(1.06,1.58)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(0.87,1.58)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(0.93,1.41)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1.50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(1.02,2.22)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*Model 2 + adjustment for diet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-0.62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(-1.15,-0.10)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-1.35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(-2.34,-0.36)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-0.90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(-1.55,-0.25)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red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(1.03,1.67)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1.44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(1.06, 1.97)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1.28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(1.04,1.56)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1.14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(0.86,1.52)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(0.92,1.9)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1.84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(1.12,3.03)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Subsample with information on poverty-to-income ratio (PIR)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1357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1334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796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196/1356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121/796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266/1202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140/1193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85/1211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35/957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Model 2 in subsample with PIR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(-1.08, 0.02)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-1.19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(-2.27,-0.11)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-1.05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(-1.76,-0.35)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(1.02,1.58)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(1.05,1.09)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(1.04,1.66)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(0.88,1.45)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1.25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(0.95,1.64)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1.50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(1.03,2.20)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Model 2 + adjustment for PIR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-0.52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(-1.07, 0.03)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-1.17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(-2.25,-0.09)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-1.06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(-1.74,-0.38)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red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(1.02,1.58)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(0.97,2.07)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(1.04,1.65)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1.12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(0.87,1.45)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(0.96,1.66)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1.50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(1.32.19)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Subsample with no occupational exposure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1437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1414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844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/1437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130/844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285/1290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149/1280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90/1300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37/1026</w:t>
            </w:r>
          </w:p>
        </w:tc>
      </w:tr>
      <w:tr w:rsidR="003A55D6" w:rsidRPr="003A55D6" w:rsidTr="003A55D6">
        <w:trPr>
          <w:trHeight w:val="80"/>
        </w:trPr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Model 2 in subsample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(-1.09, 0.03)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-1.14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(-2.19,-0.08)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-0.96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(-1.66,-0.25)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(1.03,1.57)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(1.03,1.83)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(1.04,1.63)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(0.91,1.51)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(0.98,1.44)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1.48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(1.05,2.08)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Subsample with information on pesticide use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1389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1368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813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203/1209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127/813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285/1290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149/1280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9/1300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37/1026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Model 2 + adjustment for pesticide use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(-1.16,-0.02)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-1.21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(-2.32,-0.13)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-1.03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(-1.79,-0.28)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(1.02,1.59)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(1.05,1.94)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1.33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(0.95,1.88)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(0.91,1.51)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(1.01,1.40)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1.48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(1.05,2.08)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b/>
                <w:sz w:val="16"/>
                <w:szCs w:val="16"/>
              </w:rPr>
              <w:t>Imputation of values below the LOD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1434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1436</w:t>
            </w: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856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n/total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216/1459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131/856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287/1301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150/1291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91/1311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37/1034</w:t>
            </w:r>
          </w:p>
        </w:tc>
      </w:tr>
      <w:tr w:rsidR="003A55D6" w:rsidRPr="003A55D6" w:rsidTr="003A55D6">
        <w:tc>
          <w:tcPr>
            <w:tcW w:w="0" w:type="auto"/>
            <w:tcBorders>
              <w:right w:val="single" w:sz="4" w:space="0" w:color="auto"/>
            </w:tcBorders>
          </w:tcPr>
          <w:p w:rsidR="003A55D6" w:rsidRPr="003A55D6" w:rsidRDefault="003A55D6" w:rsidP="003A55D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MD 95%CI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-0.40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(-0.77,-0.02)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-0.81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(-1.52,-0.09)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-0.59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(-1.28,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-0.09)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OR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95%CI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1.19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(0.96,1.47)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(1.00,1.73)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1.31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(1.05,1.64)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1.17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(0.91,1.50)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1.21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(1.00,1.46)</w:t>
            </w:r>
          </w:p>
        </w:tc>
        <w:tc>
          <w:tcPr>
            <w:tcW w:w="0" w:type="auto"/>
          </w:tcPr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1.48</w:t>
            </w:r>
          </w:p>
          <w:p w:rsidR="003A55D6" w:rsidRPr="003A55D6" w:rsidRDefault="003A55D6" w:rsidP="003A55D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A55D6">
              <w:rPr>
                <w:rFonts w:ascii="Times New Roman" w:hAnsi="Times New Roman" w:cs="Times New Roman"/>
                <w:sz w:val="16"/>
                <w:szCs w:val="16"/>
              </w:rPr>
              <w:t>(1.05,2.08)</w:t>
            </w:r>
          </w:p>
        </w:tc>
      </w:tr>
    </w:tbl>
    <w:p w:rsidR="00B67D4D" w:rsidRDefault="003A55D6" w:rsidP="00C75C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MD:</w:t>
      </w:r>
      <w:r w:rsidR="009F2481" w:rsidRPr="009F2481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mean differences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, OR: </w:t>
      </w:r>
      <w:r w:rsidR="00C75C15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Odds Ratios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.</w:t>
      </w:r>
    </w:p>
    <w:p w:rsidR="00B67D4D" w:rsidRPr="00E15258" w:rsidRDefault="00B67D4D" w:rsidP="00B67D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All models adjust for the same variables included in Model 2 in the main tables</w:t>
      </w:r>
      <w:r w:rsidR="001303A9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(i.e.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age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,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sex, ethnicity, education level, fasting time, recent pain in the hands</w:t>
      </w:r>
      <w:r w:rsidR="001303A9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and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lifestyle-related risk factors</w:t>
      </w:r>
      <w:r w:rsidR="001303A9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).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</w:t>
      </w:r>
    </w:p>
    <w:p w:rsidR="009F2481" w:rsidRDefault="00C75C15" w:rsidP="00C75C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 w:rsidRPr="00C75C15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</w:t>
      </w:r>
    </w:p>
    <w:p w:rsidR="009F2481" w:rsidRDefault="009F2481" w:rsidP="009F24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</w:p>
    <w:p w:rsidR="00005EDB" w:rsidRDefault="00005EDB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C678C4" w:rsidRPr="00080952" w:rsidRDefault="00C678C4" w:rsidP="00C678C4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Table 2: Stratified results by sex, age, education, race/ethnicity and BMI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79"/>
        <w:gridCol w:w="1421"/>
        <w:gridCol w:w="1365"/>
        <w:gridCol w:w="1420"/>
        <w:gridCol w:w="511"/>
        <w:gridCol w:w="169"/>
        <w:gridCol w:w="1420"/>
        <w:gridCol w:w="1426"/>
        <w:gridCol w:w="604"/>
        <w:gridCol w:w="169"/>
        <w:gridCol w:w="1604"/>
        <w:gridCol w:w="1420"/>
        <w:gridCol w:w="490"/>
      </w:tblGrid>
      <w:tr w:rsidR="00005EDB" w:rsidRPr="00005EDB" w:rsidTr="003A55D6">
        <w:trPr>
          <w:trHeight w:val="396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4D42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Overall</w:t>
            </w:r>
          </w:p>
        </w:tc>
        <w:tc>
          <w:tcPr>
            <w:tcW w:w="443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Men</w:t>
            </w:r>
          </w:p>
        </w:tc>
        <w:tc>
          <w:tcPr>
            <w:tcW w:w="461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Women</w:t>
            </w:r>
          </w:p>
        </w:tc>
        <w:tc>
          <w:tcPr>
            <w:tcW w:w="166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p-int</w:t>
            </w:r>
          </w:p>
        </w:tc>
        <w:tc>
          <w:tcPr>
            <w:tcW w:w="55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&lt; 40</w:t>
            </w:r>
          </w:p>
        </w:tc>
        <w:tc>
          <w:tcPr>
            <w:tcW w:w="463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&gt;40</w:t>
            </w:r>
          </w:p>
        </w:tc>
        <w:tc>
          <w:tcPr>
            <w:tcW w:w="196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p-int</w:t>
            </w:r>
          </w:p>
        </w:tc>
        <w:tc>
          <w:tcPr>
            <w:tcW w:w="55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Non-Hispanic white</w:t>
            </w:r>
          </w:p>
        </w:tc>
        <w:tc>
          <w:tcPr>
            <w:tcW w:w="461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Other</w:t>
            </w:r>
          </w:p>
        </w:tc>
        <w:tc>
          <w:tcPr>
            <w:tcW w:w="159" w:type="pct"/>
            <w:tcBorders>
              <w:top w:val="single" w:sz="4" w:space="0" w:color="auto"/>
              <w:bottom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MD(95%CI)</w:t>
            </w:r>
          </w:p>
        </w:tc>
        <w:tc>
          <w:tcPr>
            <w:tcW w:w="443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66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5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3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96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5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59" w:type="pct"/>
            <w:tcBorders>
              <w:top w:val="single" w:sz="4" w:space="0" w:color="auto"/>
            </w:tcBorders>
          </w:tcPr>
          <w:p w:rsidR="00005EDB" w:rsidRPr="00005EDB" w:rsidRDefault="00005EDB" w:rsidP="004D42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Dominant HGS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-0.55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(-1.09,-0.01)</w:t>
            </w:r>
          </w:p>
        </w:tc>
        <w:tc>
          <w:tcPr>
            <w:tcW w:w="443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-0.74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(-1.64,0.16)</w:t>
            </w: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-0.34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(-0.75, 0.07)</w:t>
            </w:r>
          </w:p>
        </w:tc>
        <w:tc>
          <w:tcPr>
            <w:tcW w:w="166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0.27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-0.38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(-1.03,0.27)</w:t>
            </w:r>
          </w:p>
        </w:tc>
        <w:tc>
          <w:tcPr>
            <w:tcW w:w="463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-0.92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(-1.70;-0.13)</w:t>
            </w:r>
          </w:p>
        </w:tc>
        <w:tc>
          <w:tcPr>
            <w:tcW w:w="196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0.36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-0.35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(-0.99,0.30)</w:t>
            </w: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-0.90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(-1.74,-0.07)</w:t>
            </w:r>
          </w:p>
        </w:tc>
        <w:tc>
          <w:tcPr>
            <w:tcW w:w="159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0.44</w:t>
            </w: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Combined HGS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-1.17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(-2.20,-0.15)</w:t>
            </w:r>
          </w:p>
        </w:tc>
        <w:tc>
          <w:tcPr>
            <w:tcW w:w="443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-1.50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(-3.31,0.30)</w:t>
            </w: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-0.80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(-1.59,-0.01)</w:t>
            </w:r>
          </w:p>
        </w:tc>
        <w:tc>
          <w:tcPr>
            <w:tcW w:w="166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0.35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-0.86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(-2.04,0.32)</w:t>
            </w:r>
          </w:p>
        </w:tc>
        <w:tc>
          <w:tcPr>
            <w:tcW w:w="463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-1.94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(-3.50,-0.38)</w:t>
            </w:r>
          </w:p>
        </w:tc>
        <w:tc>
          <w:tcPr>
            <w:tcW w:w="196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&lt;0.39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-0.79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(-2.12,0.54)</w:t>
            </w:r>
          </w:p>
        </w:tc>
        <w:tc>
          <w:tcPr>
            <w:tcW w:w="461" w:type="pct"/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-2.25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(-3.44,-1.05)</w:t>
            </w:r>
          </w:p>
        </w:tc>
        <w:tc>
          <w:tcPr>
            <w:tcW w:w="159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0.45</w:t>
            </w: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Relative HGS</w:t>
            </w:r>
          </w:p>
        </w:tc>
        <w:tc>
          <w:tcPr>
            <w:tcW w:w="461" w:type="pct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-0.98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(-1.69,-0.28)</w:t>
            </w:r>
          </w:p>
        </w:tc>
        <w:tc>
          <w:tcPr>
            <w:tcW w:w="443" w:type="pct"/>
            <w:tcBorders>
              <w:bottom w:val="single" w:sz="4" w:space="0" w:color="auto"/>
            </w:tcBorders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-0.75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(-1.69,0.18)</w:t>
            </w:r>
          </w:p>
        </w:tc>
        <w:tc>
          <w:tcPr>
            <w:tcW w:w="461" w:type="pct"/>
            <w:tcBorders>
              <w:bottom w:val="single" w:sz="4" w:space="0" w:color="auto"/>
            </w:tcBorders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-1.16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(-2.12,-0.19)</w:t>
            </w:r>
          </w:p>
        </w:tc>
        <w:tc>
          <w:tcPr>
            <w:tcW w:w="166" w:type="pct"/>
            <w:tcBorders>
              <w:bottom w:val="single" w:sz="4" w:space="0" w:color="auto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0.53</w:t>
            </w:r>
          </w:p>
        </w:tc>
        <w:tc>
          <w:tcPr>
            <w:tcW w:w="55" w:type="pct"/>
            <w:tcBorders>
              <w:bottom w:val="single" w:sz="4" w:space="0" w:color="auto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bottom w:val="single" w:sz="4" w:space="0" w:color="auto"/>
            </w:tcBorders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-0.96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(-1.77,-0.16)</w:t>
            </w:r>
          </w:p>
        </w:tc>
        <w:tc>
          <w:tcPr>
            <w:tcW w:w="463" w:type="pct"/>
            <w:tcBorders>
              <w:bottom w:val="single" w:sz="4" w:space="0" w:color="auto"/>
            </w:tcBorders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-1.03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(-2.96,0.91)</w:t>
            </w:r>
          </w:p>
        </w:tc>
        <w:tc>
          <w:tcPr>
            <w:tcW w:w="196" w:type="pct"/>
            <w:tcBorders>
              <w:bottom w:val="single" w:sz="4" w:space="0" w:color="auto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0.89</w:t>
            </w:r>
          </w:p>
        </w:tc>
        <w:tc>
          <w:tcPr>
            <w:tcW w:w="55" w:type="pct"/>
            <w:tcBorders>
              <w:bottom w:val="single" w:sz="4" w:space="0" w:color="auto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tcBorders>
              <w:bottom w:val="single" w:sz="4" w:space="0" w:color="auto"/>
            </w:tcBorders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-0.66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(-1.59,0.28)</w:t>
            </w:r>
          </w:p>
        </w:tc>
        <w:tc>
          <w:tcPr>
            <w:tcW w:w="461" w:type="pct"/>
            <w:tcBorders>
              <w:bottom w:val="single" w:sz="4" w:space="0" w:color="auto"/>
            </w:tcBorders>
            <w:vAlign w:val="bottom"/>
          </w:tcPr>
          <w:p w:rsid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-1.50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(-2.24,-0.76)</w:t>
            </w:r>
          </w:p>
        </w:tc>
        <w:tc>
          <w:tcPr>
            <w:tcW w:w="159" w:type="pct"/>
            <w:tcBorders>
              <w:bottom w:val="single" w:sz="4" w:space="0" w:color="auto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0.85</w:t>
            </w: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nil"/>
            </w:tcBorders>
            <w:shd w:val="clear" w:color="auto" w:fill="auto"/>
            <w:vAlign w:val="bottom"/>
            <w:hideMark/>
          </w:tcPr>
          <w:p w:rsidR="00005EDB" w:rsidRPr="00005EDB" w:rsidRDefault="00005EDB" w:rsidP="00005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OR</w:t>
            </w:r>
          </w:p>
          <w:p w:rsidR="00005EDB" w:rsidRPr="00005EDB" w:rsidRDefault="00005EDB" w:rsidP="00005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(95%CI)</w:t>
            </w:r>
          </w:p>
        </w:tc>
        <w:tc>
          <w:tcPr>
            <w:tcW w:w="443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66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5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3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96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5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159" w:type="pct"/>
            <w:tcBorders>
              <w:top w:val="single" w:sz="4" w:space="0" w:color="auto"/>
              <w:bottom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tcBorders>
              <w:top w:val="nil"/>
            </w:tcBorders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 xml:space="preserve">Low HGS </w:t>
            </w:r>
          </w:p>
        </w:tc>
        <w:tc>
          <w:tcPr>
            <w:tcW w:w="461" w:type="pct"/>
            <w:tcBorders>
              <w:top w:val="nil"/>
            </w:tcBorders>
            <w:shd w:val="clear" w:color="auto" w:fill="auto"/>
            <w:vAlign w:val="bottom"/>
            <w:hideMark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1.27 (1.03,1.57)</w:t>
            </w:r>
          </w:p>
        </w:tc>
        <w:tc>
          <w:tcPr>
            <w:tcW w:w="443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1.28 (1.01,1.63)</w:t>
            </w:r>
          </w:p>
        </w:tc>
        <w:tc>
          <w:tcPr>
            <w:tcW w:w="461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1.26 (1.02,1.56)</w:t>
            </w:r>
          </w:p>
        </w:tc>
        <w:tc>
          <w:tcPr>
            <w:tcW w:w="166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0.63</w:t>
            </w:r>
          </w:p>
        </w:tc>
        <w:tc>
          <w:tcPr>
            <w:tcW w:w="55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1.31 (0.98,1.76)</w:t>
            </w:r>
          </w:p>
        </w:tc>
        <w:tc>
          <w:tcPr>
            <w:tcW w:w="463" w:type="pct"/>
            <w:tcBorders>
              <w:top w:val="nil"/>
            </w:tcBorders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1.17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(0.82,1.68)</w:t>
            </w:r>
          </w:p>
        </w:tc>
        <w:tc>
          <w:tcPr>
            <w:tcW w:w="196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0.74</w:t>
            </w:r>
          </w:p>
        </w:tc>
        <w:tc>
          <w:tcPr>
            <w:tcW w:w="55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tcBorders>
              <w:top w:val="nil"/>
            </w:tcBorders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1.22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(0.89,1.68)</w:t>
            </w:r>
          </w:p>
        </w:tc>
        <w:tc>
          <w:tcPr>
            <w:tcW w:w="461" w:type="pct"/>
            <w:tcBorders>
              <w:top w:val="nil"/>
            </w:tcBorders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1.36 (1.04,1.77)</w:t>
            </w:r>
          </w:p>
        </w:tc>
        <w:tc>
          <w:tcPr>
            <w:tcW w:w="159" w:type="pct"/>
            <w:tcBorders>
              <w:top w:val="nil"/>
            </w:tcBorders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0.83</w:t>
            </w: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Low relative HGS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1.43 (1.05,1.94)</w:t>
            </w:r>
          </w:p>
        </w:tc>
        <w:tc>
          <w:tcPr>
            <w:tcW w:w="443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1.23 (0.89,1.70)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1.66 (1.07,2.55)</w:t>
            </w:r>
          </w:p>
        </w:tc>
        <w:tc>
          <w:tcPr>
            <w:tcW w:w="16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0.21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1.42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(1.03-1.94)</w:t>
            </w:r>
          </w:p>
        </w:tc>
        <w:tc>
          <w:tcPr>
            <w:tcW w:w="463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2.38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(0.31, 18.3)</w:t>
            </w:r>
          </w:p>
        </w:tc>
        <w:tc>
          <w:tcPr>
            <w:tcW w:w="19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0.84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1.45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(0.96,2.18)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1.37 (1.06,1.78)</w:t>
            </w:r>
          </w:p>
        </w:tc>
        <w:tc>
          <w:tcPr>
            <w:tcW w:w="159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0.52</w:t>
            </w:r>
          </w:p>
        </w:tc>
      </w:tr>
      <w:tr w:rsidR="00005EDB" w:rsidRPr="00005EDB" w:rsidTr="003A55D6">
        <w:trPr>
          <w:trHeight w:val="396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 Difficulty in stooping, crouching, kneeling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1.33 (1.08,1.63)</w:t>
            </w:r>
          </w:p>
        </w:tc>
        <w:tc>
          <w:tcPr>
            <w:tcW w:w="443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1.39 (0.99,1.96)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1.31 (1.01,1.69)</w:t>
            </w:r>
          </w:p>
        </w:tc>
        <w:tc>
          <w:tcPr>
            <w:tcW w:w="16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0.95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1.55 (1.18,2.02)</w:t>
            </w:r>
          </w:p>
        </w:tc>
        <w:tc>
          <w:tcPr>
            <w:tcW w:w="463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1.36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(1.09,1.69)</w:t>
            </w:r>
          </w:p>
        </w:tc>
        <w:tc>
          <w:tcPr>
            <w:tcW w:w="19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0.74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1.41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(1.04,1.91)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1.23 (1.04,1.44)</w:t>
            </w:r>
          </w:p>
        </w:tc>
        <w:tc>
          <w:tcPr>
            <w:tcW w:w="159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0.58</w:t>
            </w:r>
          </w:p>
        </w:tc>
      </w:tr>
      <w:tr w:rsidR="00005EDB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005EDB" w:rsidRPr="00005EDB" w:rsidRDefault="00005EDB" w:rsidP="00005E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Difficulty in lifting or carrying &lt;10 pounds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1.17 (0.91,1.50)</w:t>
            </w:r>
          </w:p>
        </w:tc>
        <w:tc>
          <w:tcPr>
            <w:tcW w:w="443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1.18 (0.86,1.62)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1.21 (0.85,1.72)</w:t>
            </w:r>
          </w:p>
        </w:tc>
        <w:tc>
          <w:tcPr>
            <w:tcW w:w="16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0.55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0.95 (0.68,1.32)</w:t>
            </w:r>
          </w:p>
        </w:tc>
        <w:tc>
          <w:tcPr>
            <w:tcW w:w="463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1.30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(0.94,1.79)</w:t>
            </w:r>
          </w:p>
        </w:tc>
        <w:tc>
          <w:tcPr>
            <w:tcW w:w="196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0.07</w:t>
            </w:r>
          </w:p>
        </w:tc>
        <w:tc>
          <w:tcPr>
            <w:tcW w:w="55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1.09 </w:t>
            </w:r>
          </w:p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(0.74,1.61)</w:t>
            </w:r>
          </w:p>
        </w:tc>
        <w:tc>
          <w:tcPr>
            <w:tcW w:w="461" w:type="pct"/>
            <w:vAlign w:val="bottom"/>
          </w:tcPr>
          <w:p w:rsidR="00005EDB" w:rsidRPr="00005EDB" w:rsidRDefault="00005EDB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1.27 (1.02,1.57)</w:t>
            </w:r>
          </w:p>
        </w:tc>
        <w:tc>
          <w:tcPr>
            <w:tcW w:w="159" w:type="pct"/>
            <w:vAlign w:val="bottom"/>
          </w:tcPr>
          <w:p w:rsidR="00005EDB" w:rsidRPr="00005EDB" w:rsidRDefault="00005EDB" w:rsidP="00005E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0.52</w:t>
            </w:r>
          </w:p>
        </w:tc>
      </w:tr>
      <w:tr w:rsidR="003A55D6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3A55D6" w:rsidRPr="00005EDB" w:rsidRDefault="003A55D6" w:rsidP="003A55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 Difficulty standing up from armless chair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1.21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(1.01,1.40)</w:t>
            </w:r>
          </w:p>
        </w:tc>
        <w:tc>
          <w:tcPr>
            <w:tcW w:w="443" w:type="pct"/>
            <w:vAlign w:val="bottom"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1.00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(0.63,1.59)</w:t>
            </w: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1.39 (1.99,1.91)</w:t>
            </w:r>
          </w:p>
        </w:tc>
        <w:tc>
          <w:tcPr>
            <w:tcW w:w="166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0.20</w:t>
            </w:r>
          </w:p>
        </w:tc>
        <w:tc>
          <w:tcPr>
            <w:tcW w:w="55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1.18 (0.91,1.52)</w:t>
            </w:r>
          </w:p>
        </w:tc>
        <w:tc>
          <w:tcPr>
            <w:tcW w:w="463" w:type="pct"/>
            <w:vAlign w:val="bottom"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1.26 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(0.93,1.70)</w:t>
            </w:r>
          </w:p>
        </w:tc>
        <w:tc>
          <w:tcPr>
            <w:tcW w:w="196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0.64</w:t>
            </w:r>
          </w:p>
        </w:tc>
        <w:tc>
          <w:tcPr>
            <w:tcW w:w="55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1.24 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(0.91,1.68)</w:t>
            </w: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1.19 (0.91,1.57)</w:t>
            </w:r>
          </w:p>
        </w:tc>
        <w:tc>
          <w:tcPr>
            <w:tcW w:w="159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0.84</w:t>
            </w:r>
          </w:p>
        </w:tc>
      </w:tr>
      <w:tr w:rsidR="003A55D6" w:rsidRPr="00005EDB" w:rsidTr="003A55D6">
        <w:trPr>
          <w:trHeight w:val="300"/>
        </w:trPr>
        <w:tc>
          <w:tcPr>
            <w:tcW w:w="1097" w:type="pct"/>
            <w:shd w:val="clear" w:color="auto" w:fill="auto"/>
            <w:vAlign w:val="center"/>
            <w:hideMark/>
          </w:tcPr>
          <w:p w:rsidR="003A55D6" w:rsidRPr="00005EDB" w:rsidRDefault="003A55D6" w:rsidP="003A55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s-ES"/>
              </w:rPr>
              <w:t> Difficulty ascending ten steps without pause</w:t>
            </w:r>
          </w:p>
        </w:tc>
        <w:tc>
          <w:tcPr>
            <w:tcW w:w="461" w:type="pct"/>
            <w:shd w:val="clear" w:color="auto" w:fill="auto"/>
            <w:vAlign w:val="bottom"/>
            <w:hideMark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1.47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(1.05,2.06)</w:t>
            </w:r>
          </w:p>
        </w:tc>
        <w:tc>
          <w:tcPr>
            <w:tcW w:w="443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1.95 (0.85,5.44)</w:t>
            </w: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1.45 (0.95,2.21)</w:t>
            </w:r>
          </w:p>
        </w:tc>
        <w:tc>
          <w:tcPr>
            <w:tcW w:w="166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0.98</w:t>
            </w:r>
          </w:p>
        </w:tc>
        <w:tc>
          <w:tcPr>
            <w:tcW w:w="55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1.27 (0.78,2.06)</w:t>
            </w:r>
          </w:p>
        </w:tc>
        <w:tc>
          <w:tcPr>
            <w:tcW w:w="463" w:type="pct"/>
            <w:vAlign w:val="bottom"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1.53 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(0.92,2.52)</w:t>
            </w:r>
          </w:p>
        </w:tc>
        <w:tc>
          <w:tcPr>
            <w:tcW w:w="196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0.70</w:t>
            </w:r>
          </w:p>
        </w:tc>
        <w:tc>
          <w:tcPr>
            <w:tcW w:w="55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</w:p>
        </w:tc>
        <w:tc>
          <w:tcPr>
            <w:tcW w:w="521" w:type="pct"/>
            <w:vAlign w:val="bottom"/>
          </w:tcPr>
          <w:p w:rsidR="003A55D6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 xml:space="preserve">1.67 </w:t>
            </w:r>
          </w:p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(1.12,2.50)</w:t>
            </w:r>
          </w:p>
        </w:tc>
        <w:tc>
          <w:tcPr>
            <w:tcW w:w="461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1.09 (0.66,1.80)</w:t>
            </w:r>
          </w:p>
        </w:tc>
        <w:tc>
          <w:tcPr>
            <w:tcW w:w="159" w:type="pct"/>
            <w:vAlign w:val="bottom"/>
          </w:tcPr>
          <w:p w:rsidR="003A55D6" w:rsidRPr="00005EDB" w:rsidRDefault="003A55D6" w:rsidP="003A55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</w:pPr>
            <w:r w:rsidRPr="00005E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s-ES"/>
              </w:rPr>
              <w:t>0.74</w:t>
            </w:r>
          </w:p>
        </w:tc>
      </w:tr>
    </w:tbl>
    <w:p w:rsidR="003A55D6" w:rsidRDefault="003A55D6" w:rsidP="003A55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MD:</w:t>
      </w:r>
      <w:r w:rsidRPr="009F2481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mean differences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, OR: Odds Ratios.</w:t>
      </w:r>
    </w:p>
    <w:p w:rsidR="003A55D6" w:rsidRPr="00E15258" w:rsidRDefault="003A55D6" w:rsidP="003A55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All models adjust for the same variables included in Model 2 in the main tables (i.e.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age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,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sex, ethnicity, education level, fasting time, recent pain in the hands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and 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lifestyle-related risk factors</w:t>
      </w:r>
      <w:r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>).</w:t>
      </w:r>
      <w:r w:rsidRPr="00E15258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</w:t>
      </w:r>
    </w:p>
    <w:p w:rsidR="003A55D6" w:rsidRDefault="003A55D6" w:rsidP="003A55D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</w:pPr>
      <w:r w:rsidRPr="00C75C15">
        <w:rPr>
          <w:rFonts w:ascii="Times New Roman" w:eastAsia="Times New Roman" w:hAnsi="Times New Roman" w:cs="Times New Roman"/>
          <w:sz w:val="20"/>
          <w:szCs w:val="20"/>
          <w:lang w:val="en-US" w:eastAsia="es-ES"/>
        </w:rPr>
        <w:t xml:space="preserve"> </w:t>
      </w:r>
    </w:p>
    <w:p w:rsidR="00C256D0" w:rsidRDefault="00C256D0">
      <w:pPr>
        <w:rPr>
          <w:lang w:val="en-US"/>
        </w:rPr>
      </w:pPr>
    </w:p>
    <w:p w:rsidR="003F7A03" w:rsidRDefault="003F7A03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F7A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</w:t>
      </w:r>
      <w:r w:rsidR="00434C99">
        <w:rPr>
          <w:rFonts w:ascii="Times New Roman" w:hAnsi="Times New Roman" w:cs="Times New Roman"/>
          <w:b/>
          <w:sz w:val="24"/>
          <w:szCs w:val="24"/>
          <w:lang w:val="en-US"/>
        </w:rPr>
        <w:t>Figure</w:t>
      </w:r>
      <w:r w:rsidRPr="003F7A0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A55D6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933DD2" w:rsidRPr="00933D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33DD2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Mean Differences (MD) for </w:t>
      </w:r>
      <w:r w:rsidR="00933DD2">
        <w:rPr>
          <w:rFonts w:ascii="Times New Roman" w:eastAsia="Times New Roman" w:hAnsi="Times New Roman" w:cs="Times New Roman"/>
          <w:sz w:val="24"/>
          <w:szCs w:val="24"/>
          <w:lang w:val="en-US"/>
        </w:rPr>
        <w:t>hand</w:t>
      </w:r>
      <w:r w:rsidR="00933DD2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grip strength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r w:rsidR="00970456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>HGS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>) in the dominant hand</w:t>
      </w:r>
      <w:r w:rsidR="00933D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933DD2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combined </w:t>
      </w:r>
      <w:r w:rsidR="00933DD2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>HGS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>, and relative HGS</w:t>
      </w:r>
      <w:r w:rsidR="00933DD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33DD2" w:rsidRPr="00473FF9">
        <w:rPr>
          <w:rFonts w:ascii="Times New Roman" w:eastAsia="Times New Roman" w:hAnsi="Times New Roman" w:cs="Times New Roman"/>
          <w:sz w:val="24"/>
          <w:szCs w:val="24"/>
          <w:lang w:val="en-US"/>
        </w:rPr>
        <w:t>by creatinine-corrected urine glyphosate concentrations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after imputation of values below the limit of detection (LOD).</w:t>
      </w:r>
    </w:p>
    <w:p w:rsidR="00933DD2" w:rsidRDefault="00933DD2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</w:p>
    <w:p w:rsidR="0078181B" w:rsidRDefault="00933DD2" w:rsidP="00933D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Lines represent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mean differences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(continuous line) and 95% confidence intervals (dotted lines) for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relative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>grip strength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based on restricted cubic splines for log-transformed creatinine-corrected urine glyphosate concentrations with knots at the 10</w:t>
      </w:r>
      <w:r w:rsidRPr="003C62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, 50</w:t>
      </w:r>
      <w:r w:rsidRPr="003C62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90</w:t>
      </w:r>
      <w:r w:rsidRPr="003C62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percentiles. The reference was set at the 10</w:t>
      </w:r>
      <w:r w:rsidRPr="003C6260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percentile of creatinine-corrected urine glyphosate distribution. Models were adjusted for age, sex, ethnicity, education level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fasting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time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, recent hand pain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physical activity, TV viewing time, smoking status, alcohol consumption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total cholesterol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HDL cholesterol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cholesterol lowering medication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use, 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>hypertension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 diabetes,</w:t>
      </w:r>
      <w:r w:rsidRPr="003C6260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eGFR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and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prevalence of chronic diseases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number of depressi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>ve symptoms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="0097045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Models for HGS in the dominant hand and combined HGS additionally adjusted for body mass index.</w:t>
      </w:r>
    </w:p>
    <w:p w:rsidR="0078181B" w:rsidRDefault="0078181B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br w:type="page"/>
      </w:r>
    </w:p>
    <w:p w:rsidR="00933DD2" w:rsidRPr="003C6260" w:rsidRDefault="00933DD2" w:rsidP="00933D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434C99" w:rsidRPr="003F7A03" w:rsidRDefault="00434C9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F7A03" w:rsidRPr="003F7A03" w:rsidRDefault="003F7A03">
      <w:pPr>
        <w:rPr>
          <w:lang w:val="en-US"/>
        </w:rPr>
      </w:pPr>
    </w:p>
    <w:sectPr w:rsidR="003F7A03" w:rsidRPr="003F7A03" w:rsidSect="00312C6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1400" w:rsidRDefault="00E91400" w:rsidP="00F9351D">
      <w:pPr>
        <w:spacing w:after="0" w:line="240" w:lineRule="auto"/>
      </w:pPr>
      <w:r>
        <w:separator/>
      </w:r>
    </w:p>
  </w:endnote>
  <w:endnote w:type="continuationSeparator" w:id="0">
    <w:p w:rsidR="00E91400" w:rsidRDefault="00E91400" w:rsidP="00F935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1400" w:rsidRDefault="00E91400" w:rsidP="00F9351D">
      <w:pPr>
        <w:spacing w:after="0" w:line="240" w:lineRule="auto"/>
      </w:pPr>
      <w:r>
        <w:separator/>
      </w:r>
    </w:p>
  </w:footnote>
  <w:footnote w:type="continuationSeparator" w:id="0">
    <w:p w:rsidR="00E91400" w:rsidRDefault="00E91400" w:rsidP="00F935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158"/>
    <w:rsid w:val="00005EDB"/>
    <w:rsid w:val="000147CC"/>
    <w:rsid w:val="00047DD3"/>
    <w:rsid w:val="000757FF"/>
    <w:rsid w:val="00080952"/>
    <w:rsid w:val="001303A9"/>
    <w:rsid w:val="00140324"/>
    <w:rsid w:val="00177158"/>
    <w:rsid w:val="001B30C2"/>
    <w:rsid w:val="001F2901"/>
    <w:rsid w:val="00242650"/>
    <w:rsid w:val="0026718F"/>
    <w:rsid w:val="003002D2"/>
    <w:rsid w:val="00312C69"/>
    <w:rsid w:val="00323B54"/>
    <w:rsid w:val="00324562"/>
    <w:rsid w:val="00367359"/>
    <w:rsid w:val="003848C6"/>
    <w:rsid w:val="003A55D6"/>
    <w:rsid w:val="003D6579"/>
    <w:rsid w:val="003F7A03"/>
    <w:rsid w:val="00434C99"/>
    <w:rsid w:val="00443F6D"/>
    <w:rsid w:val="004956EB"/>
    <w:rsid w:val="004A238A"/>
    <w:rsid w:val="004B3023"/>
    <w:rsid w:val="004C4929"/>
    <w:rsid w:val="004D42C8"/>
    <w:rsid w:val="004E651A"/>
    <w:rsid w:val="004E7306"/>
    <w:rsid w:val="00555FCF"/>
    <w:rsid w:val="00571218"/>
    <w:rsid w:val="005A3F0E"/>
    <w:rsid w:val="005A7EE2"/>
    <w:rsid w:val="005B25D1"/>
    <w:rsid w:val="005D39C3"/>
    <w:rsid w:val="005E3626"/>
    <w:rsid w:val="00613AB6"/>
    <w:rsid w:val="00626877"/>
    <w:rsid w:val="0066019C"/>
    <w:rsid w:val="00685DED"/>
    <w:rsid w:val="00694AE3"/>
    <w:rsid w:val="00694F9B"/>
    <w:rsid w:val="006B37F7"/>
    <w:rsid w:val="006D06B8"/>
    <w:rsid w:val="006D09CE"/>
    <w:rsid w:val="00701D82"/>
    <w:rsid w:val="0072088F"/>
    <w:rsid w:val="0075289D"/>
    <w:rsid w:val="0078181B"/>
    <w:rsid w:val="007C02EE"/>
    <w:rsid w:val="007E1D9D"/>
    <w:rsid w:val="007E1E81"/>
    <w:rsid w:val="007E34DB"/>
    <w:rsid w:val="00833F8A"/>
    <w:rsid w:val="00904576"/>
    <w:rsid w:val="00933DD2"/>
    <w:rsid w:val="00961055"/>
    <w:rsid w:val="00966A7C"/>
    <w:rsid w:val="00970456"/>
    <w:rsid w:val="009911BC"/>
    <w:rsid w:val="009F2481"/>
    <w:rsid w:val="009F773A"/>
    <w:rsid w:val="00A03780"/>
    <w:rsid w:val="00A1140C"/>
    <w:rsid w:val="00A328DE"/>
    <w:rsid w:val="00A525FA"/>
    <w:rsid w:val="00A733A8"/>
    <w:rsid w:val="00B25A34"/>
    <w:rsid w:val="00B3649F"/>
    <w:rsid w:val="00B570C3"/>
    <w:rsid w:val="00B65B0F"/>
    <w:rsid w:val="00B67D4D"/>
    <w:rsid w:val="00C02F3B"/>
    <w:rsid w:val="00C256D0"/>
    <w:rsid w:val="00C678C4"/>
    <w:rsid w:val="00C75C15"/>
    <w:rsid w:val="00CE34A7"/>
    <w:rsid w:val="00D26A1D"/>
    <w:rsid w:val="00D57F9F"/>
    <w:rsid w:val="00D91C0A"/>
    <w:rsid w:val="00DA2175"/>
    <w:rsid w:val="00DB02D7"/>
    <w:rsid w:val="00DC5554"/>
    <w:rsid w:val="00E50F44"/>
    <w:rsid w:val="00E91400"/>
    <w:rsid w:val="00EE7B39"/>
    <w:rsid w:val="00F611C5"/>
    <w:rsid w:val="00F8220C"/>
    <w:rsid w:val="00F9351D"/>
    <w:rsid w:val="00FB676D"/>
    <w:rsid w:val="00FC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0B7BC-0FE0-4413-8A8B-F9B341C2D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7A0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A7EE2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256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256D0"/>
    <w:rPr>
      <w:rFonts w:ascii="Segoe UI" w:hAnsi="Segoe UI" w:cs="Segoe UI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9351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9351D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9351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93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1855</TotalTime>
  <Pages>4</Pages>
  <Words>920</Words>
  <Characters>5060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García García-Esquinas</dc:creator>
  <cp:keywords/>
  <dc:description/>
  <cp:lastModifiedBy>Esther García García-Esquinas</cp:lastModifiedBy>
  <cp:revision>40</cp:revision>
  <dcterms:created xsi:type="dcterms:W3CDTF">2024-02-12T09:09:00Z</dcterms:created>
  <dcterms:modified xsi:type="dcterms:W3CDTF">2024-02-19T11:31:00Z</dcterms:modified>
</cp:coreProperties>
</file>