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4056F" w14:textId="77777777" w:rsidR="00BB5550" w:rsidRPr="00180651" w:rsidRDefault="00BB5550" w:rsidP="00BB555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3A713470" w14:textId="77777777" w:rsidR="00BB5550" w:rsidRPr="00180651" w:rsidRDefault="00BB5550" w:rsidP="00BB555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180651">
        <w:rPr>
          <w:lang w:val="en-GB"/>
        </w:rPr>
        <w:object w:dxaOrig="11741" w:dyaOrig="6744" w14:anchorId="3E1D96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3pt;height:244.45pt" o:ole="">
            <v:imagedata r:id="rId4" o:title=""/>
          </v:shape>
          <o:OLEObject Type="Embed" ProgID="Prism9.Document" ShapeID="_x0000_i1025" DrawAspect="Content" ObjectID="_1822034657" r:id="rId5"/>
        </w:object>
      </w:r>
    </w:p>
    <w:p w14:paraId="23F5809C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80651">
        <w:rPr>
          <w:rFonts w:ascii="Times New Roman" w:hAnsi="Times New Roman" w:cs="Times New Roman"/>
          <w:b/>
          <w:bCs/>
          <w:sz w:val="24"/>
          <w:szCs w:val="24"/>
          <w:lang w:val="en-GB"/>
        </w:rPr>
        <w:t>Additional</w:t>
      </w:r>
      <w:r w:rsidRPr="001806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Figure 1. </w:t>
      </w:r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IFN-γ levels secreted by PBMC from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LiR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180651">
        <w:rPr>
          <w:rFonts w:ascii="Times New Roman" w:hAnsi="Times New Roman" w:cs="Times New Roman"/>
          <w:i/>
          <w:sz w:val="24"/>
          <w:szCs w:val="24"/>
          <w:lang w:val="en-GB"/>
        </w:rPr>
        <w:t>Leishmania</w:t>
      </w:r>
      <w:proofErr w:type="spellEnd"/>
      <w:r w:rsidRPr="0018065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180651">
        <w:rPr>
          <w:rFonts w:ascii="Times New Roman" w:hAnsi="Times New Roman" w:cs="Times New Roman"/>
          <w:i/>
          <w:sz w:val="24"/>
          <w:szCs w:val="24"/>
          <w:lang w:val="en-GB"/>
        </w:rPr>
        <w:t>infantum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responders) and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LiRN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180651">
        <w:rPr>
          <w:rFonts w:ascii="Times New Roman" w:hAnsi="Times New Roman" w:cs="Times New Roman"/>
          <w:i/>
          <w:sz w:val="24"/>
          <w:szCs w:val="24"/>
          <w:lang w:val="en-GB"/>
        </w:rPr>
        <w:t>Leishmania</w:t>
      </w:r>
      <w:proofErr w:type="spellEnd"/>
      <w:r w:rsidRPr="0018065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180651">
        <w:rPr>
          <w:rFonts w:ascii="Times New Roman" w:hAnsi="Times New Roman" w:cs="Times New Roman"/>
          <w:i/>
          <w:sz w:val="24"/>
          <w:szCs w:val="24"/>
          <w:lang w:val="en-GB"/>
        </w:rPr>
        <w:t>infantum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non responders) after stimulation with NS,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ΔCpB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, NSC, </w:t>
      </w:r>
      <w:bookmarkStart w:id="0" w:name="_GoBack"/>
      <w:bookmarkEnd w:id="0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E, ENSC or H antigens. Data are represented as box-and-whisker plots, in which boxes indicate the interquartile range (IQR), and individual dots represent sample values. Data were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analyzed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using the Mann-Whitney U test. ***p&lt;0.001; ****p&lt;0.0001.</w:t>
      </w:r>
    </w:p>
    <w:p w14:paraId="1C53A4EF" w14:textId="77777777" w:rsidR="00BB5550" w:rsidRPr="00180651" w:rsidRDefault="00BB5550" w:rsidP="00BB5550">
      <w:pPr>
        <w:spacing w:line="48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FEB2A82" w14:textId="77777777" w:rsidR="00BB5550" w:rsidRPr="00180651" w:rsidRDefault="00BB5550" w:rsidP="00BB5550">
      <w:pPr>
        <w:rPr>
          <w:lang w:val="en-GB"/>
        </w:rPr>
      </w:pPr>
      <w:r w:rsidRPr="00180651">
        <w:rPr>
          <w:lang w:val="en-GB"/>
        </w:rPr>
        <w:object w:dxaOrig="11642" w:dyaOrig="6754" w14:anchorId="102D6FCA">
          <v:shape id="_x0000_i1026" type="#_x0000_t75" style="width:425.3pt;height:244.45pt" o:ole="">
            <v:imagedata r:id="rId6" o:title=""/>
          </v:shape>
          <o:OLEObject Type="Embed" ProgID="Prism9.Document" ShapeID="_x0000_i1026" DrawAspect="Content" ObjectID="_1822034658" r:id="rId7"/>
        </w:object>
      </w:r>
    </w:p>
    <w:p w14:paraId="0BCA9439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5A4FDC2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80651">
        <w:rPr>
          <w:rFonts w:ascii="Times New Roman" w:hAnsi="Times New Roman" w:cs="Times New Roman"/>
          <w:b/>
          <w:bCs/>
          <w:sz w:val="24"/>
          <w:szCs w:val="24"/>
          <w:lang w:val="en-GB"/>
        </w:rPr>
        <w:t>Additional</w:t>
      </w:r>
      <w:r w:rsidRPr="001806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Figure 2.</w:t>
      </w:r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TNF levels secreted by PBMC from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LiR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LiRN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after stimulation with NS, C, NSC, E, ENSC or H antigens. Data are represented as box-and-whisker plots, in which boxes indicate the interquartile range (IQR), and individual dots represent sample values. Data were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analyzed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using the Mann-Whitney U test. *p&lt; 0.05; **p&lt; 0.01; ***p&lt; 0.001.</w:t>
      </w:r>
    </w:p>
    <w:p w14:paraId="55A7FE60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8D68F4E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80651">
        <w:rPr>
          <w:lang w:val="en-GB"/>
        </w:rPr>
        <w:t xml:space="preserve"> </w:t>
      </w:r>
      <w:r w:rsidRPr="00180651">
        <w:rPr>
          <w:lang w:val="en-GB"/>
        </w:rPr>
        <w:object w:dxaOrig="11619" w:dyaOrig="6751" w14:anchorId="3A264DA8">
          <v:shape id="_x0000_i1027" type="#_x0000_t75" style="width:424.45pt;height:244.45pt" o:ole="">
            <v:imagedata r:id="rId8" o:title=""/>
          </v:shape>
          <o:OLEObject Type="Embed" ProgID="Prism9.Document" ShapeID="_x0000_i1027" DrawAspect="Content" ObjectID="_1822034659" r:id="rId9"/>
        </w:object>
      </w:r>
    </w:p>
    <w:p w14:paraId="4A44626D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80651">
        <w:rPr>
          <w:rFonts w:ascii="Times New Roman" w:hAnsi="Times New Roman" w:cs="Times New Roman"/>
          <w:b/>
          <w:bCs/>
          <w:sz w:val="24"/>
          <w:szCs w:val="24"/>
          <w:lang w:val="en-GB"/>
        </w:rPr>
        <w:t>Additional</w:t>
      </w:r>
      <w:r w:rsidRPr="001806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Figure 3.</w:t>
      </w:r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IL-10 levels secreted by PBMC from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LiR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LiRN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after stimulation with NS, C, NSC, E, ENSC or H antigens. Data are represented as box-and-whisker plots, in which boxes indicate the interquartile range (IQR), and individual dots represent sample values. Data were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analyzed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using the Mann-Whitney U test. *p&lt; 0.05; **p&lt; 0.01; ***p&lt; 0.001.</w:t>
      </w:r>
    </w:p>
    <w:p w14:paraId="3C80C730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366633D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80651">
        <w:rPr>
          <w:rFonts w:ascii="Times New Roman" w:hAnsi="Times New Roman" w:cs="Times New Roman"/>
          <w:noProof/>
          <w:sz w:val="24"/>
          <w:szCs w:val="24"/>
          <w:lang w:val="en-IN" w:eastAsia="en-IN"/>
        </w:rPr>
        <w:drawing>
          <wp:inline distT="0" distB="0" distL="0" distR="0" wp14:anchorId="75AB9636" wp14:editId="52AE9A3D">
            <wp:extent cx="5398770" cy="273494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9FD17" w14:textId="77777777" w:rsidR="00BB5550" w:rsidRPr="00180651" w:rsidRDefault="00BB5550" w:rsidP="00BB555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66F44B5" w14:textId="77777777" w:rsidR="00BB5550" w:rsidRPr="00180651" w:rsidRDefault="00BB5550" w:rsidP="00BB555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80651">
        <w:rPr>
          <w:rFonts w:ascii="Times New Roman" w:hAnsi="Times New Roman" w:cs="Times New Roman"/>
          <w:b/>
          <w:bCs/>
          <w:sz w:val="24"/>
          <w:szCs w:val="24"/>
          <w:lang w:val="en-GB"/>
        </w:rPr>
        <w:t>Additional</w:t>
      </w:r>
      <w:r w:rsidRPr="0018065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Figure 4.</w:t>
      </w:r>
      <w:r w:rsidRPr="00180651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Cytokine production in the whole blood response to SLA and recombinant antigens.</w:t>
      </w:r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 Production of IL-10 and granzyme B after stimulation of whole blood with SLA, </w:t>
      </w:r>
      <w:proofErr w:type="spellStart"/>
      <w:r w:rsidRPr="00180651">
        <w:rPr>
          <w:rFonts w:ascii="Times New Roman" w:hAnsi="Times New Roman" w:cs="Times New Roman"/>
          <w:sz w:val="24"/>
          <w:szCs w:val="24"/>
          <w:lang w:val="en-GB"/>
        </w:rPr>
        <w:t>ΔCpB</w:t>
      </w:r>
      <w:proofErr w:type="spellEnd"/>
      <w:r w:rsidRPr="00180651">
        <w:rPr>
          <w:rFonts w:ascii="Times New Roman" w:hAnsi="Times New Roman" w:cs="Times New Roman"/>
          <w:sz w:val="24"/>
          <w:szCs w:val="24"/>
          <w:lang w:val="en-GB"/>
        </w:rPr>
        <w:t>, NSC or ENSC after 24 h of incubation in subjects cured of visceral leishmaniasis (CVL; n=10), subjects cured of cutaneous leishmaniasis (CCL; n=14), asymptomatic subjects (AS; n=15), and healthy controls (HC; n=14). Horizontal bars represent the median concentration. The Mann</w:t>
      </w:r>
      <w:r w:rsidRPr="00180651">
        <w:rPr>
          <w:rFonts w:ascii="Times New Roman" w:hAnsi="Times New Roman" w:cs="Times New Roman"/>
          <w:strike/>
          <w:sz w:val="24"/>
          <w:szCs w:val="24"/>
          <w:lang w:val="en-GB"/>
        </w:rPr>
        <w:t>-</w:t>
      </w:r>
      <w:r w:rsidRPr="00180651">
        <w:rPr>
          <w:rFonts w:ascii="Times New Roman" w:hAnsi="Times New Roman" w:cs="Times New Roman"/>
          <w:sz w:val="24"/>
          <w:szCs w:val="24"/>
          <w:lang w:val="en-GB"/>
        </w:rPr>
        <w:t xml:space="preserve">Whitney U test was used to compare medians. *p&lt; 0.05, **p&lt; 0.01, ***p&lt; 0.001, ****p&lt; 0.0001. </w:t>
      </w:r>
    </w:p>
    <w:p w14:paraId="1414C9D3" w14:textId="77777777" w:rsidR="006878CC" w:rsidRPr="00180651" w:rsidRDefault="006878CC"/>
    <w:sectPr w:rsidR="006878CC" w:rsidRPr="00180651" w:rsidSect="001806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550"/>
    <w:rsid w:val="00180651"/>
    <w:rsid w:val="005E3232"/>
    <w:rsid w:val="006878CC"/>
    <w:rsid w:val="008D78ED"/>
    <w:rsid w:val="00BB5550"/>
    <w:rsid w:val="00F3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011EA11"/>
  <w15:chartTrackingRefBased/>
  <w15:docId w15:val="{4BEF3506-0890-46A6-A8C4-B6B41181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550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55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5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5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5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5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5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5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5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5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5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5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5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5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5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5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B5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55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B5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55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B55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550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B55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5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5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tif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Eugenia Carrillo Gallego</dc:creator>
  <cp:keywords/>
  <dc:description/>
  <cp:lastModifiedBy>Revathi   Thangaraj</cp:lastModifiedBy>
  <cp:revision>2</cp:revision>
  <dcterms:created xsi:type="dcterms:W3CDTF">2025-06-17T09:57:00Z</dcterms:created>
  <dcterms:modified xsi:type="dcterms:W3CDTF">2025-10-15T06:27:00Z</dcterms:modified>
</cp:coreProperties>
</file>