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0C318" w14:textId="77777777" w:rsidR="00B322A0" w:rsidRDefault="00000000">
      <w:pPr>
        <w:spacing w:before="70"/>
        <w:ind w:left="103"/>
        <w:rPr>
          <w:sz w:val="12"/>
        </w:rPr>
      </w:pPr>
      <w:r>
        <w:rPr>
          <w:color w:val="231F20"/>
          <w:sz w:val="12"/>
        </w:rPr>
        <w:t>[CANCER</w:t>
      </w:r>
      <w:r>
        <w:rPr>
          <w:color w:val="231F20"/>
          <w:spacing w:val="7"/>
          <w:sz w:val="12"/>
        </w:rPr>
        <w:t xml:space="preserve"> </w:t>
      </w:r>
      <w:r>
        <w:rPr>
          <w:color w:val="231F20"/>
          <w:sz w:val="12"/>
        </w:rPr>
        <w:t>RESEARCH</w:t>
      </w:r>
      <w:r>
        <w:rPr>
          <w:color w:val="231F20"/>
          <w:spacing w:val="-1"/>
          <w:sz w:val="12"/>
        </w:rPr>
        <w:t xml:space="preserve"> </w:t>
      </w:r>
      <w:r>
        <w:rPr>
          <w:color w:val="231F20"/>
          <w:sz w:val="12"/>
        </w:rPr>
        <w:t>64,</w:t>
      </w:r>
      <w:r>
        <w:rPr>
          <w:color w:val="231F20"/>
          <w:spacing w:val="9"/>
          <w:sz w:val="12"/>
        </w:rPr>
        <w:t xml:space="preserve"> </w:t>
      </w:r>
      <w:r>
        <w:rPr>
          <w:color w:val="231F20"/>
          <w:sz w:val="12"/>
        </w:rPr>
        <w:t>5527–5534,</w:t>
      </w:r>
      <w:r>
        <w:rPr>
          <w:color w:val="231F20"/>
          <w:spacing w:val="9"/>
          <w:sz w:val="12"/>
        </w:rPr>
        <w:t xml:space="preserve"> </w:t>
      </w:r>
      <w:r>
        <w:rPr>
          <w:color w:val="231F20"/>
          <w:sz w:val="12"/>
        </w:rPr>
        <w:t>August</w:t>
      </w:r>
      <w:r>
        <w:rPr>
          <w:color w:val="231F20"/>
          <w:spacing w:val="9"/>
          <w:sz w:val="12"/>
        </w:rPr>
        <w:t xml:space="preserve"> </w:t>
      </w:r>
      <w:r>
        <w:rPr>
          <w:color w:val="231F20"/>
          <w:sz w:val="12"/>
        </w:rPr>
        <w:t>15,</w:t>
      </w:r>
      <w:r>
        <w:rPr>
          <w:color w:val="231F20"/>
          <w:spacing w:val="9"/>
          <w:sz w:val="12"/>
        </w:rPr>
        <w:t xml:space="preserve"> </w:t>
      </w:r>
      <w:r>
        <w:rPr>
          <w:color w:val="231F20"/>
          <w:spacing w:val="-2"/>
          <w:sz w:val="12"/>
        </w:rPr>
        <w:t>2004]</w:t>
      </w:r>
    </w:p>
    <w:p w14:paraId="0F095374" w14:textId="77777777" w:rsidR="00B322A0" w:rsidRDefault="00B322A0">
      <w:pPr>
        <w:pStyle w:val="Textoindependiente"/>
        <w:spacing w:before="12"/>
        <w:ind w:left="0"/>
        <w:rPr>
          <w:sz w:val="12"/>
        </w:rPr>
      </w:pPr>
    </w:p>
    <w:p w14:paraId="73D3338C" w14:textId="77777777" w:rsidR="00B322A0" w:rsidRDefault="00000000">
      <w:pPr>
        <w:tabs>
          <w:tab w:val="left" w:pos="10423"/>
        </w:tabs>
        <w:ind w:left="103"/>
        <w:rPr>
          <w:i/>
          <w:sz w:val="24"/>
        </w:rPr>
      </w:pPr>
      <w:r>
        <w:rPr>
          <w:i/>
          <w:color w:val="231F20"/>
          <w:sz w:val="24"/>
          <w:u w:val="single" w:color="231F20"/>
        </w:rPr>
        <w:t>Advances</w:t>
      </w:r>
      <w:r>
        <w:rPr>
          <w:i/>
          <w:color w:val="231F20"/>
          <w:spacing w:val="19"/>
          <w:sz w:val="24"/>
          <w:u w:val="single" w:color="231F20"/>
        </w:rPr>
        <w:t xml:space="preserve"> </w:t>
      </w:r>
      <w:r>
        <w:rPr>
          <w:i/>
          <w:color w:val="231F20"/>
          <w:sz w:val="24"/>
          <w:u w:val="single" w:color="231F20"/>
        </w:rPr>
        <w:t>in</w:t>
      </w:r>
      <w:r>
        <w:rPr>
          <w:i/>
          <w:color w:val="231F20"/>
          <w:spacing w:val="19"/>
          <w:sz w:val="24"/>
          <w:u w:val="single" w:color="231F20"/>
        </w:rPr>
        <w:t xml:space="preserve"> </w:t>
      </w:r>
      <w:r>
        <w:rPr>
          <w:i/>
          <w:color w:val="231F20"/>
          <w:spacing w:val="-2"/>
          <w:sz w:val="24"/>
          <w:u w:val="single" w:color="231F20"/>
        </w:rPr>
        <w:t>Brief</w:t>
      </w:r>
      <w:r>
        <w:rPr>
          <w:i/>
          <w:color w:val="231F20"/>
          <w:sz w:val="24"/>
          <w:u w:val="single" w:color="231F20"/>
        </w:rPr>
        <w:tab/>
      </w:r>
    </w:p>
    <w:p w14:paraId="086D7AB9" w14:textId="77777777" w:rsidR="00B322A0" w:rsidRDefault="00B322A0">
      <w:pPr>
        <w:pStyle w:val="Textoindependiente"/>
        <w:spacing w:before="35"/>
        <w:ind w:left="0"/>
        <w:rPr>
          <w:i/>
          <w:sz w:val="28"/>
        </w:rPr>
      </w:pPr>
    </w:p>
    <w:p w14:paraId="6B09BE3B" w14:textId="77777777" w:rsidR="00B322A0" w:rsidRDefault="00000000">
      <w:pPr>
        <w:pStyle w:val="Ttulo"/>
        <w:spacing w:line="297" w:lineRule="auto"/>
      </w:pPr>
      <w:r>
        <w:rPr>
          <w:color w:val="231F20"/>
        </w:rPr>
        <w:t>A Mouse Skin Multistage Carcinogenesis Model Reflects the Aberrant DNA Methylation Patterns of Human Tumors</w:t>
      </w:r>
    </w:p>
    <w:p w14:paraId="6FD3D205" w14:textId="77777777" w:rsidR="00B322A0" w:rsidRPr="00E43DA0" w:rsidRDefault="00000000">
      <w:pPr>
        <w:spacing w:before="236" w:line="249" w:lineRule="auto"/>
        <w:ind w:left="103"/>
        <w:rPr>
          <w:b/>
          <w:sz w:val="20"/>
          <w:lang w:val="es-ES"/>
        </w:rPr>
      </w:pPr>
      <w:r w:rsidRPr="00E43DA0">
        <w:rPr>
          <w:b/>
          <w:color w:val="231F20"/>
          <w:sz w:val="20"/>
          <w:lang w:val="es-ES"/>
        </w:rPr>
        <w:t>Mario F. Fraga,</w:t>
      </w:r>
      <w:r w:rsidRPr="00E43DA0">
        <w:rPr>
          <w:b/>
          <w:color w:val="231F20"/>
          <w:sz w:val="20"/>
          <w:vertAlign w:val="superscript"/>
          <w:lang w:val="es-ES"/>
        </w:rPr>
        <w:t>1</w:t>
      </w:r>
      <w:r w:rsidRPr="00E43DA0">
        <w:rPr>
          <w:b/>
          <w:color w:val="231F20"/>
          <w:sz w:val="20"/>
          <w:lang w:val="es-ES"/>
        </w:rPr>
        <w:t xml:space="preserve"> Michel Herranz,</w:t>
      </w:r>
      <w:r w:rsidRPr="00E43DA0">
        <w:rPr>
          <w:b/>
          <w:color w:val="231F20"/>
          <w:sz w:val="20"/>
          <w:vertAlign w:val="superscript"/>
          <w:lang w:val="es-ES"/>
        </w:rPr>
        <w:t>1</w:t>
      </w:r>
      <w:r w:rsidRPr="00E43DA0">
        <w:rPr>
          <w:b/>
          <w:color w:val="231F20"/>
          <w:sz w:val="20"/>
          <w:lang w:val="es-ES"/>
        </w:rPr>
        <w:t xml:space="preserve"> </w:t>
      </w:r>
      <w:r w:rsidRPr="00E43DA0">
        <w:rPr>
          <w:b/>
          <w:color w:val="231F20"/>
          <w:spacing w:val="11"/>
          <w:sz w:val="20"/>
          <w:lang w:val="es-ES"/>
        </w:rPr>
        <w:t>Jes</w:t>
      </w:r>
      <w:r w:rsidRPr="00E43DA0">
        <w:rPr>
          <w:b/>
          <w:color w:val="231F20"/>
          <w:spacing w:val="-78"/>
          <w:sz w:val="20"/>
          <w:lang w:val="es-ES"/>
        </w:rPr>
        <w:t>u</w:t>
      </w:r>
      <w:r w:rsidRPr="00E43DA0">
        <w:rPr>
          <w:b/>
          <w:color w:val="231F20"/>
          <w:spacing w:val="33"/>
          <w:sz w:val="20"/>
          <w:lang w:val="es-ES"/>
        </w:rPr>
        <w:t>´</w:t>
      </w:r>
      <w:r w:rsidRPr="00E43DA0">
        <w:rPr>
          <w:b/>
          <w:color w:val="231F20"/>
          <w:spacing w:val="11"/>
          <w:sz w:val="20"/>
          <w:lang w:val="es-ES"/>
        </w:rPr>
        <w:t>s</w:t>
      </w:r>
      <w:r w:rsidRPr="00E43DA0">
        <w:rPr>
          <w:b/>
          <w:color w:val="231F20"/>
          <w:spacing w:val="-1"/>
          <w:sz w:val="20"/>
          <w:lang w:val="es-ES"/>
        </w:rPr>
        <w:t xml:space="preserve"> </w:t>
      </w:r>
      <w:r w:rsidRPr="00E43DA0">
        <w:rPr>
          <w:b/>
          <w:color w:val="231F20"/>
          <w:sz w:val="20"/>
          <w:lang w:val="es-ES"/>
        </w:rPr>
        <w:t>Espada,</w:t>
      </w:r>
      <w:r w:rsidRPr="00E43DA0">
        <w:rPr>
          <w:b/>
          <w:color w:val="231F20"/>
          <w:sz w:val="20"/>
          <w:vertAlign w:val="superscript"/>
          <w:lang w:val="es-ES"/>
        </w:rPr>
        <w:t>1</w:t>
      </w:r>
      <w:r w:rsidRPr="00E43DA0">
        <w:rPr>
          <w:b/>
          <w:color w:val="231F20"/>
          <w:sz w:val="20"/>
          <w:lang w:val="es-ES"/>
        </w:rPr>
        <w:t xml:space="preserve"> Esteban Ballestar,</w:t>
      </w:r>
      <w:r w:rsidRPr="00E43DA0">
        <w:rPr>
          <w:b/>
          <w:color w:val="231F20"/>
          <w:sz w:val="20"/>
          <w:vertAlign w:val="superscript"/>
          <w:lang w:val="es-ES"/>
        </w:rPr>
        <w:t>1</w:t>
      </w:r>
      <w:r w:rsidRPr="00E43DA0">
        <w:rPr>
          <w:b/>
          <w:color w:val="231F20"/>
          <w:sz w:val="20"/>
          <w:lang w:val="es-ES"/>
        </w:rPr>
        <w:t xml:space="preserve"> Maria F. Paz,</w:t>
      </w:r>
      <w:r w:rsidRPr="00E43DA0">
        <w:rPr>
          <w:b/>
          <w:color w:val="231F20"/>
          <w:sz w:val="20"/>
          <w:vertAlign w:val="superscript"/>
          <w:lang w:val="es-ES"/>
        </w:rPr>
        <w:t>1</w:t>
      </w:r>
      <w:r w:rsidRPr="00E43DA0">
        <w:rPr>
          <w:b/>
          <w:color w:val="231F20"/>
          <w:sz w:val="20"/>
          <w:lang w:val="es-ES"/>
        </w:rPr>
        <w:t xml:space="preserve"> Santiago Ropero,</w:t>
      </w:r>
      <w:r w:rsidRPr="00E43DA0">
        <w:rPr>
          <w:b/>
          <w:color w:val="231F20"/>
          <w:sz w:val="20"/>
          <w:vertAlign w:val="superscript"/>
          <w:lang w:val="es-ES"/>
        </w:rPr>
        <w:t>1</w:t>
      </w:r>
      <w:r w:rsidRPr="00E43DA0">
        <w:rPr>
          <w:b/>
          <w:color w:val="231F20"/>
          <w:sz w:val="20"/>
          <w:lang w:val="es-ES"/>
        </w:rPr>
        <w:t xml:space="preserve"> Emel Erkek,</w:t>
      </w:r>
      <w:r w:rsidRPr="00E43DA0">
        <w:rPr>
          <w:b/>
          <w:color w:val="231F20"/>
          <w:sz w:val="20"/>
          <w:vertAlign w:val="superscript"/>
          <w:lang w:val="es-ES"/>
        </w:rPr>
        <w:t>2</w:t>
      </w:r>
      <w:r w:rsidRPr="00E43DA0">
        <w:rPr>
          <w:b/>
          <w:color w:val="231F20"/>
          <w:spacing w:val="40"/>
          <w:sz w:val="20"/>
          <w:lang w:val="es-ES"/>
        </w:rPr>
        <w:t xml:space="preserve"> </w:t>
      </w:r>
      <w:r w:rsidRPr="00E43DA0">
        <w:rPr>
          <w:b/>
          <w:color w:val="231F20"/>
          <w:sz w:val="20"/>
          <w:lang w:val="es-ES"/>
        </w:rPr>
        <w:t>Onder Bozdogan,</w:t>
      </w:r>
      <w:r w:rsidRPr="00E43DA0">
        <w:rPr>
          <w:b/>
          <w:color w:val="231F20"/>
          <w:sz w:val="20"/>
          <w:vertAlign w:val="superscript"/>
          <w:lang w:val="es-ES"/>
        </w:rPr>
        <w:t>2</w:t>
      </w:r>
      <w:r w:rsidRPr="00E43DA0">
        <w:rPr>
          <w:b/>
          <w:color w:val="231F20"/>
          <w:sz w:val="20"/>
          <w:lang w:val="es-ES"/>
        </w:rPr>
        <w:t xml:space="preserve"> He´ctor Peinado,</w:t>
      </w:r>
      <w:r w:rsidRPr="00E43DA0">
        <w:rPr>
          <w:b/>
          <w:color w:val="231F20"/>
          <w:sz w:val="20"/>
          <w:vertAlign w:val="superscript"/>
          <w:lang w:val="es-ES"/>
        </w:rPr>
        <w:t>3</w:t>
      </w:r>
      <w:r w:rsidRPr="00E43DA0">
        <w:rPr>
          <w:b/>
          <w:color w:val="231F20"/>
          <w:sz w:val="20"/>
          <w:lang w:val="es-ES"/>
        </w:rPr>
        <w:t xml:space="preserve"> Alain Niveleau,</w:t>
      </w:r>
      <w:r w:rsidRPr="00E43DA0">
        <w:rPr>
          <w:b/>
          <w:color w:val="231F20"/>
          <w:sz w:val="20"/>
          <w:vertAlign w:val="superscript"/>
          <w:lang w:val="es-ES"/>
        </w:rPr>
        <w:t>4</w:t>
      </w:r>
      <w:r w:rsidRPr="00E43DA0">
        <w:rPr>
          <w:b/>
          <w:color w:val="231F20"/>
          <w:sz w:val="20"/>
          <w:lang w:val="es-ES"/>
        </w:rPr>
        <w:t xml:space="preserve"> Jian-Hua Mao,</w:t>
      </w:r>
      <w:r w:rsidRPr="00E43DA0">
        <w:rPr>
          <w:b/>
          <w:color w:val="231F20"/>
          <w:sz w:val="20"/>
          <w:vertAlign w:val="superscript"/>
          <w:lang w:val="es-ES"/>
        </w:rPr>
        <w:t>5</w:t>
      </w:r>
      <w:r w:rsidRPr="00E43DA0">
        <w:rPr>
          <w:b/>
          <w:color w:val="231F20"/>
          <w:sz w:val="20"/>
          <w:lang w:val="es-ES"/>
        </w:rPr>
        <w:t xml:space="preserve"> Alan Balmain,</w:t>
      </w:r>
      <w:r w:rsidRPr="00E43DA0">
        <w:rPr>
          <w:b/>
          <w:color w:val="231F20"/>
          <w:sz w:val="20"/>
          <w:vertAlign w:val="superscript"/>
          <w:lang w:val="es-ES"/>
        </w:rPr>
        <w:t>5</w:t>
      </w:r>
      <w:r w:rsidRPr="00E43DA0">
        <w:rPr>
          <w:b/>
          <w:color w:val="231F20"/>
          <w:sz w:val="20"/>
          <w:lang w:val="es-ES"/>
        </w:rPr>
        <w:t xml:space="preserve"> Amparo Cano,</w:t>
      </w:r>
      <w:r w:rsidRPr="00E43DA0">
        <w:rPr>
          <w:b/>
          <w:color w:val="231F20"/>
          <w:sz w:val="20"/>
          <w:vertAlign w:val="superscript"/>
          <w:lang w:val="es-ES"/>
        </w:rPr>
        <w:t>3</w:t>
      </w:r>
      <w:r w:rsidRPr="00E43DA0">
        <w:rPr>
          <w:b/>
          <w:color w:val="231F20"/>
          <w:sz w:val="20"/>
          <w:lang w:val="es-ES"/>
        </w:rPr>
        <w:t xml:space="preserve"> and</w:t>
      </w:r>
    </w:p>
    <w:p w14:paraId="2C2CFBEF" w14:textId="77777777" w:rsidR="00B322A0" w:rsidRPr="00E43DA0" w:rsidRDefault="00000000">
      <w:pPr>
        <w:spacing w:before="2"/>
        <w:ind w:left="103"/>
        <w:rPr>
          <w:b/>
          <w:sz w:val="20"/>
          <w:lang w:val="es-ES"/>
        </w:rPr>
      </w:pPr>
      <w:r w:rsidRPr="00E43DA0">
        <w:rPr>
          <w:b/>
          <w:color w:val="231F20"/>
          <w:sz w:val="20"/>
          <w:lang w:val="es-ES"/>
        </w:rPr>
        <w:t>Manel</w:t>
      </w:r>
      <w:r w:rsidRPr="00E43DA0">
        <w:rPr>
          <w:b/>
          <w:color w:val="231F20"/>
          <w:spacing w:val="16"/>
          <w:sz w:val="20"/>
          <w:lang w:val="es-ES"/>
        </w:rPr>
        <w:t xml:space="preserve"> </w:t>
      </w:r>
      <w:r w:rsidRPr="00E43DA0">
        <w:rPr>
          <w:b/>
          <w:color w:val="231F20"/>
          <w:spacing w:val="-2"/>
          <w:sz w:val="20"/>
          <w:lang w:val="es-ES"/>
        </w:rPr>
        <w:t>Esteller</w:t>
      </w:r>
      <w:r w:rsidRPr="00E43DA0">
        <w:rPr>
          <w:b/>
          <w:color w:val="231F20"/>
          <w:spacing w:val="-2"/>
          <w:sz w:val="20"/>
          <w:vertAlign w:val="superscript"/>
          <w:lang w:val="es-ES"/>
        </w:rPr>
        <w:t>1</w:t>
      </w:r>
    </w:p>
    <w:p w14:paraId="54C9CBE0" w14:textId="77777777" w:rsidR="00B322A0" w:rsidRPr="00E43DA0" w:rsidRDefault="00000000">
      <w:pPr>
        <w:spacing w:before="106"/>
        <w:ind w:left="103" w:right="114"/>
        <w:jc w:val="both"/>
        <w:rPr>
          <w:i/>
          <w:sz w:val="14"/>
          <w:lang w:val="es-ES"/>
        </w:rPr>
      </w:pPr>
      <w:r w:rsidRPr="00E43DA0">
        <w:rPr>
          <w:i/>
          <w:color w:val="231F20"/>
          <w:sz w:val="14"/>
          <w:vertAlign w:val="superscript"/>
          <w:lang w:val="es-ES"/>
        </w:rPr>
        <w:t>1</w:t>
      </w:r>
      <w:r w:rsidRPr="00E43DA0">
        <w:rPr>
          <w:i/>
          <w:color w:val="231F20"/>
          <w:sz w:val="14"/>
          <w:lang w:val="es-ES"/>
        </w:rPr>
        <w:t xml:space="preserve">Cancer Epigenetics Laboratory, Molecular Pathology Program, Spanish National Cancer Centre, Madrid, Spain; </w:t>
      </w:r>
      <w:r w:rsidRPr="00E43DA0">
        <w:rPr>
          <w:i/>
          <w:color w:val="231F20"/>
          <w:sz w:val="14"/>
          <w:vertAlign w:val="superscript"/>
          <w:lang w:val="es-ES"/>
        </w:rPr>
        <w:t>2</w:t>
      </w:r>
      <w:r w:rsidRPr="00E43DA0">
        <w:rPr>
          <w:i/>
          <w:color w:val="231F20"/>
          <w:sz w:val="14"/>
          <w:lang w:val="es-ES"/>
        </w:rPr>
        <w:t>Kirikkale University Faculty of Medicine, Kirikkale, Turkey;</w:t>
      </w:r>
      <w:r w:rsidRPr="00E43DA0">
        <w:rPr>
          <w:i/>
          <w:color w:val="231F20"/>
          <w:spacing w:val="40"/>
          <w:sz w:val="14"/>
          <w:lang w:val="es-ES"/>
        </w:rPr>
        <w:t xml:space="preserve"> </w:t>
      </w:r>
      <w:r w:rsidRPr="00E43DA0">
        <w:rPr>
          <w:i/>
          <w:color w:val="231F20"/>
          <w:sz w:val="14"/>
          <w:vertAlign w:val="superscript"/>
          <w:lang w:val="es-ES"/>
        </w:rPr>
        <w:t>3</w:t>
      </w:r>
      <w:r w:rsidRPr="00E43DA0">
        <w:rPr>
          <w:i/>
          <w:color w:val="231F20"/>
          <w:sz w:val="14"/>
          <w:lang w:val="es-ES"/>
        </w:rPr>
        <w:t>Departamento de Bioqu´ımica, Facultad de Medicina, Instituto de Investigaciones Biome´dicas, Centro de Biologia Molecular “Severo Ochoa,” Universidad Autonoma de Madrid,</w:t>
      </w:r>
      <w:r w:rsidRPr="00E43DA0">
        <w:rPr>
          <w:i/>
          <w:color w:val="231F20"/>
          <w:spacing w:val="40"/>
          <w:sz w:val="14"/>
          <w:lang w:val="es-ES"/>
        </w:rPr>
        <w:t xml:space="preserve"> </w:t>
      </w:r>
      <w:r w:rsidRPr="00E43DA0">
        <w:rPr>
          <w:i/>
          <w:color w:val="231F20"/>
          <w:sz w:val="14"/>
          <w:lang w:val="es-ES"/>
        </w:rPr>
        <w:t>Madrid,</w:t>
      </w:r>
      <w:r w:rsidRPr="00E43DA0">
        <w:rPr>
          <w:i/>
          <w:color w:val="231F20"/>
          <w:spacing w:val="37"/>
          <w:sz w:val="14"/>
          <w:lang w:val="es-ES"/>
        </w:rPr>
        <w:t xml:space="preserve"> </w:t>
      </w:r>
      <w:r w:rsidRPr="00E43DA0">
        <w:rPr>
          <w:i/>
          <w:color w:val="231F20"/>
          <w:sz w:val="14"/>
          <w:lang w:val="es-ES"/>
        </w:rPr>
        <w:t>Spain;</w:t>
      </w:r>
      <w:r w:rsidRPr="00E43DA0">
        <w:rPr>
          <w:i/>
          <w:color w:val="231F20"/>
          <w:spacing w:val="37"/>
          <w:sz w:val="14"/>
          <w:lang w:val="es-ES"/>
        </w:rPr>
        <w:t xml:space="preserve"> </w:t>
      </w:r>
      <w:r w:rsidRPr="00E43DA0">
        <w:rPr>
          <w:i/>
          <w:color w:val="231F20"/>
          <w:sz w:val="14"/>
          <w:vertAlign w:val="superscript"/>
          <w:lang w:val="es-ES"/>
        </w:rPr>
        <w:t>4</w:t>
      </w:r>
      <w:r w:rsidRPr="00E43DA0">
        <w:rPr>
          <w:i/>
          <w:color w:val="231F20"/>
          <w:sz w:val="14"/>
          <w:lang w:val="es-ES"/>
        </w:rPr>
        <w:t>Centre</w:t>
      </w:r>
      <w:r w:rsidRPr="00E43DA0">
        <w:rPr>
          <w:i/>
          <w:color w:val="231F20"/>
          <w:spacing w:val="37"/>
          <w:sz w:val="14"/>
          <w:lang w:val="es-ES"/>
        </w:rPr>
        <w:t xml:space="preserve"> </w:t>
      </w:r>
      <w:r w:rsidRPr="00E43DA0">
        <w:rPr>
          <w:i/>
          <w:color w:val="231F20"/>
          <w:sz w:val="14"/>
          <w:lang w:val="es-ES"/>
        </w:rPr>
        <w:t>Commun</w:t>
      </w:r>
      <w:r w:rsidRPr="00E43DA0">
        <w:rPr>
          <w:i/>
          <w:color w:val="231F20"/>
          <w:spacing w:val="37"/>
          <w:sz w:val="14"/>
          <w:lang w:val="es-ES"/>
        </w:rPr>
        <w:t xml:space="preserve"> </w:t>
      </w:r>
      <w:r w:rsidRPr="00E43DA0">
        <w:rPr>
          <w:i/>
          <w:color w:val="231F20"/>
          <w:sz w:val="14"/>
          <w:lang w:val="es-ES"/>
        </w:rPr>
        <w:t>de</w:t>
      </w:r>
      <w:r w:rsidRPr="00E43DA0">
        <w:rPr>
          <w:i/>
          <w:color w:val="231F20"/>
          <w:spacing w:val="37"/>
          <w:sz w:val="14"/>
          <w:lang w:val="es-ES"/>
        </w:rPr>
        <w:t xml:space="preserve"> </w:t>
      </w:r>
      <w:r w:rsidRPr="00E43DA0">
        <w:rPr>
          <w:i/>
          <w:color w:val="231F20"/>
          <w:sz w:val="14"/>
          <w:lang w:val="es-ES"/>
        </w:rPr>
        <w:t>Quantimetrie,</w:t>
      </w:r>
      <w:r w:rsidRPr="00E43DA0">
        <w:rPr>
          <w:i/>
          <w:color w:val="231F20"/>
          <w:spacing w:val="37"/>
          <w:sz w:val="14"/>
          <w:lang w:val="es-ES"/>
        </w:rPr>
        <w:t xml:space="preserve"> </w:t>
      </w:r>
      <w:r w:rsidRPr="00E43DA0">
        <w:rPr>
          <w:i/>
          <w:color w:val="231F20"/>
          <w:sz w:val="14"/>
          <w:lang w:val="es-ES"/>
        </w:rPr>
        <w:t>Faculte</w:t>
      </w:r>
      <w:r w:rsidRPr="00E43DA0">
        <w:rPr>
          <w:i/>
          <w:color w:val="231F20"/>
          <w:spacing w:val="37"/>
          <w:sz w:val="14"/>
          <w:lang w:val="es-ES"/>
        </w:rPr>
        <w:t xml:space="preserve"> </w:t>
      </w:r>
      <w:r w:rsidRPr="00E43DA0">
        <w:rPr>
          <w:i/>
          <w:color w:val="231F20"/>
          <w:sz w:val="14"/>
          <w:lang w:val="es-ES"/>
        </w:rPr>
        <w:t>de</w:t>
      </w:r>
      <w:r w:rsidRPr="00E43DA0">
        <w:rPr>
          <w:i/>
          <w:color w:val="231F20"/>
          <w:spacing w:val="37"/>
          <w:sz w:val="14"/>
          <w:lang w:val="es-ES"/>
        </w:rPr>
        <w:t xml:space="preserve"> </w:t>
      </w:r>
      <w:r w:rsidRPr="00E43DA0">
        <w:rPr>
          <w:i/>
          <w:color w:val="231F20"/>
          <w:sz w:val="14"/>
          <w:lang w:val="es-ES"/>
        </w:rPr>
        <w:t>Medecine,</w:t>
      </w:r>
      <w:r w:rsidRPr="00E43DA0">
        <w:rPr>
          <w:i/>
          <w:color w:val="231F20"/>
          <w:spacing w:val="37"/>
          <w:sz w:val="14"/>
          <w:lang w:val="es-ES"/>
        </w:rPr>
        <w:t xml:space="preserve"> </w:t>
      </w:r>
      <w:r w:rsidRPr="00E43DA0">
        <w:rPr>
          <w:i/>
          <w:color w:val="231F20"/>
          <w:sz w:val="14"/>
          <w:lang w:val="es-ES"/>
        </w:rPr>
        <w:t>Universite</w:t>
      </w:r>
      <w:r w:rsidRPr="00E43DA0">
        <w:rPr>
          <w:i/>
          <w:color w:val="231F20"/>
          <w:spacing w:val="37"/>
          <w:sz w:val="14"/>
          <w:lang w:val="es-ES"/>
        </w:rPr>
        <w:t xml:space="preserve"> </w:t>
      </w:r>
      <w:r w:rsidRPr="00E43DA0">
        <w:rPr>
          <w:i/>
          <w:color w:val="231F20"/>
          <w:sz w:val="14"/>
          <w:lang w:val="es-ES"/>
        </w:rPr>
        <w:t>Claude</w:t>
      </w:r>
      <w:r w:rsidRPr="00E43DA0">
        <w:rPr>
          <w:i/>
          <w:color w:val="231F20"/>
          <w:spacing w:val="37"/>
          <w:sz w:val="14"/>
          <w:lang w:val="es-ES"/>
        </w:rPr>
        <w:t xml:space="preserve"> </w:t>
      </w:r>
      <w:r w:rsidRPr="00E43DA0">
        <w:rPr>
          <w:i/>
          <w:color w:val="231F20"/>
          <w:sz w:val="14"/>
          <w:lang w:val="es-ES"/>
        </w:rPr>
        <w:t>Bernard</w:t>
      </w:r>
      <w:r w:rsidRPr="00E43DA0">
        <w:rPr>
          <w:i/>
          <w:color w:val="231F20"/>
          <w:spacing w:val="37"/>
          <w:sz w:val="14"/>
          <w:lang w:val="es-ES"/>
        </w:rPr>
        <w:t xml:space="preserve"> </w:t>
      </w:r>
      <w:r w:rsidRPr="00E43DA0">
        <w:rPr>
          <w:i/>
          <w:color w:val="231F20"/>
          <w:sz w:val="14"/>
          <w:lang w:val="es-ES"/>
        </w:rPr>
        <w:t>Lyon</w:t>
      </w:r>
      <w:r w:rsidRPr="00E43DA0">
        <w:rPr>
          <w:i/>
          <w:color w:val="231F20"/>
          <w:spacing w:val="37"/>
          <w:sz w:val="14"/>
          <w:lang w:val="es-ES"/>
        </w:rPr>
        <w:t xml:space="preserve"> </w:t>
      </w:r>
      <w:r w:rsidRPr="00E43DA0">
        <w:rPr>
          <w:i/>
          <w:color w:val="231F20"/>
          <w:sz w:val="14"/>
          <w:lang w:val="es-ES"/>
        </w:rPr>
        <w:t>I,</w:t>
      </w:r>
      <w:r w:rsidRPr="00E43DA0">
        <w:rPr>
          <w:i/>
          <w:color w:val="231F20"/>
          <w:spacing w:val="37"/>
          <w:sz w:val="14"/>
          <w:lang w:val="es-ES"/>
        </w:rPr>
        <w:t xml:space="preserve"> </w:t>
      </w:r>
      <w:r w:rsidRPr="00E43DA0">
        <w:rPr>
          <w:i/>
          <w:color w:val="231F20"/>
          <w:sz w:val="14"/>
          <w:lang w:val="es-ES"/>
        </w:rPr>
        <w:t>Lyon,</w:t>
      </w:r>
      <w:r w:rsidRPr="00E43DA0">
        <w:rPr>
          <w:i/>
          <w:color w:val="231F20"/>
          <w:spacing w:val="37"/>
          <w:sz w:val="14"/>
          <w:lang w:val="es-ES"/>
        </w:rPr>
        <w:t xml:space="preserve"> </w:t>
      </w:r>
      <w:r w:rsidRPr="00E43DA0">
        <w:rPr>
          <w:i/>
          <w:color w:val="231F20"/>
          <w:sz w:val="14"/>
          <w:lang w:val="es-ES"/>
        </w:rPr>
        <w:t>France;</w:t>
      </w:r>
      <w:r w:rsidRPr="00E43DA0">
        <w:rPr>
          <w:i/>
          <w:color w:val="231F20"/>
          <w:spacing w:val="37"/>
          <w:sz w:val="14"/>
          <w:lang w:val="es-ES"/>
        </w:rPr>
        <w:t xml:space="preserve"> </w:t>
      </w:r>
      <w:r w:rsidRPr="00E43DA0">
        <w:rPr>
          <w:i/>
          <w:color w:val="231F20"/>
          <w:sz w:val="14"/>
          <w:lang w:val="es-ES"/>
        </w:rPr>
        <w:t>and</w:t>
      </w:r>
      <w:r w:rsidRPr="00E43DA0">
        <w:rPr>
          <w:i/>
          <w:color w:val="231F20"/>
          <w:spacing w:val="37"/>
          <w:sz w:val="14"/>
          <w:lang w:val="es-ES"/>
        </w:rPr>
        <w:t xml:space="preserve"> </w:t>
      </w:r>
      <w:r w:rsidRPr="00E43DA0">
        <w:rPr>
          <w:i/>
          <w:color w:val="231F20"/>
          <w:sz w:val="14"/>
          <w:vertAlign w:val="superscript"/>
          <w:lang w:val="es-ES"/>
        </w:rPr>
        <w:t>5</w:t>
      </w:r>
      <w:r w:rsidRPr="00E43DA0">
        <w:rPr>
          <w:i/>
          <w:color w:val="231F20"/>
          <w:sz w:val="14"/>
          <w:lang w:val="es-ES"/>
        </w:rPr>
        <w:t>Cancer</w:t>
      </w:r>
      <w:r w:rsidRPr="00E43DA0">
        <w:rPr>
          <w:i/>
          <w:color w:val="231F20"/>
          <w:spacing w:val="37"/>
          <w:sz w:val="14"/>
          <w:lang w:val="es-ES"/>
        </w:rPr>
        <w:t xml:space="preserve"> </w:t>
      </w:r>
      <w:r w:rsidRPr="00E43DA0">
        <w:rPr>
          <w:i/>
          <w:color w:val="231F20"/>
          <w:sz w:val="14"/>
          <w:lang w:val="es-ES"/>
        </w:rPr>
        <w:t>Research</w:t>
      </w:r>
      <w:r w:rsidRPr="00E43DA0">
        <w:rPr>
          <w:i/>
          <w:color w:val="231F20"/>
          <w:spacing w:val="37"/>
          <w:sz w:val="14"/>
          <w:lang w:val="es-ES"/>
        </w:rPr>
        <w:t xml:space="preserve"> </w:t>
      </w:r>
      <w:r w:rsidRPr="00E43DA0">
        <w:rPr>
          <w:i/>
          <w:color w:val="231F20"/>
          <w:sz w:val="14"/>
          <w:lang w:val="es-ES"/>
        </w:rPr>
        <w:t>Institute,</w:t>
      </w:r>
      <w:r w:rsidRPr="00E43DA0">
        <w:rPr>
          <w:i/>
          <w:color w:val="231F20"/>
          <w:spacing w:val="37"/>
          <w:sz w:val="14"/>
          <w:lang w:val="es-ES"/>
        </w:rPr>
        <w:t xml:space="preserve"> </w:t>
      </w:r>
      <w:r w:rsidRPr="00E43DA0">
        <w:rPr>
          <w:i/>
          <w:color w:val="231F20"/>
          <w:sz w:val="14"/>
          <w:lang w:val="es-ES"/>
        </w:rPr>
        <w:t>University</w:t>
      </w:r>
      <w:r w:rsidRPr="00E43DA0">
        <w:rPr>
          <w:i/>
          <w:color w:val="231F20"/>
          <w:spacing w:val="37"/>
          <w:sz w:val="14"/>
          <w:lang w:val="es-ES"/>
        </w:rPr>
        <w:t xml:space="preserve"> </w:t>
      </w:r>
      <w:r w:rsidRPr="00E43DA0">
        <w:rPr>
          <w:i/>
          <w:color w:val="231F20"/>
          <w:sz w:val="14"/>
          <w:lang w:val="es-ES"/>
        </w:rPr>
        <w:t>of</w:t>
      </w:r>
      <w:r w:rsidRPr="00E43DA0">
        <w:rPr>
          <w:i/>
          <w:color w:val="231F20"/>
          <w:spacing w:val="40"/>
          <w:sz w:val="14"/>
          <w:lang w:val="es-ES"/>
        </w:rPr>
        <w:t xml:space="preserve"> </w:t>
      </w:r>
      <w:r w:rsidRPr="00E43DA0">
        <w:rPr>
          <w:i/>
          <w:color w:val="231F20"/>
          <w:sz w:val="14"/>
          <w:lang w:val="es-ES"/>
        </w:rPr>
        <w:t>California at San Francisco, San Francisco, California</w:t>
      </w:r>
    </w:p>
    <w:p w14:paraId="5C9F3839" w14:textId="77777777" w:rsidR="00B322A0" w:rsidRPr="00E43DA0" w:rsidRDefault="00B322A0">
      <w:pPr>
        <w:pStyle w:val="Textoindependiente"/>
        <w:spacing w:before="2"/>
        <w:ind w:left="0"/>
        <w:rPr>
          <w:i/>
          <w:sz w:val="16"/>
          <w:lang w:val="es-ES"/>
        </w:rPr>
      </w:pPr>
    </w:p>
    <w:p w14:paraId="633CD977" w14:textId="77777777" w:rsidR="00B322A0" w:rsidRPr="00E43DA0" w:rsidRDefault="00B322A0">
      <w:pPr>
        <w:rPr>
          <w:sz w:val="16"/>
          <w:lang w:val="es-ES"/>
        </w:rPr>
        <w:sectPr w:rsidR="00B322A0" w:rsidRPr="00E43DA0" w:rsidSect="00BA4BCE">
          <w:footerReference w:type="default" r:id="rId7"/>
          <w:type w:val="continuous"/>
          <w:pgSz w:w="11700" w:h="15660"/>
          <w:pgMar w:top="420" w:right="560" w:bottom="920" w:left="600" w:header="0" w:footer="723" w:gutter="0"/>
          <w:pgNumType w:start="5527"/>
          <w:cols w:space="720"/>
        </w:sectPr>
      </w:pPr>
    </w:p>
    <w:p w14:paraId="306FA69D" w14:textId="77777777" w:rsidR="00B322A0" w:rsidRDefault="00000000">
      <w:pPr>
        <w:pStyle w:val="Ttulo1"/>
        <w:spacing w:before="92"/>
      </w:pPr>
      <w:r>
        <w:rPr>
          <w:noProof/>
        </w:rPr>
        <mc:AlternateContent>
          <mc:Choice Requires="wps">
            <w:drawing>
              <wp:anchor distT="0" distB="0" distL="0" distR="0" simplePos="0" relativeHeight="15729152" behindDoc="0" locked="0" layoutInCell="1" allowOverlap="1" wp14:anchorId="78CEA8C8" wp14:editId="2B2E013C">
                <wp:simplePos x="0" y="0"/>
                <wp:positionH relativeFrom="page">
                  <wp:posOffset>7108425</wp:posOffset>
                </wp:positionH>
                <wp:positionV relativeFrom="page">
                  <wp:posOffset>1928114</wp:posOffset>
                </wp:positionV>
                <wp:extent cx="111125" cy="61995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46450FF4"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8">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type w14:anchorId="78CEA8C8" id="_x0000_t202" coordsize="21600,21600" o:spt="202" path="m,l,21600r21600,l21600,xe">
                <v:stroke joinstyle="miter"/>
                <v:path gradientshapeok="t" o:connecttype="rect"/>
              </v:shapetype>
              <v:shape id="Textbox 2" o:spid="_x0000_s1026" type="#_x0000_t202" style="position:absolute;left:0;text-align:left;margin-left:559.7pt;margin-top:151.8pt;width:8.75pt;height:488.15pt;z-index:15729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" filled="f" stroked="f">
                <v:textbox style="layout-flow:vertical" inset="0,0,0,0">
                  <w:txbxContent>
                    <w:p w14:paraId="46450FF4"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9">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r>
        <w:rPr>
          <w:color w:val="231F20"/>
          <w:spacing w:val="-2"/>
        </w:rPr>
        <w:t>Abstract</w:t>
      </w:r>
    </w:p>
    <w:p w14:paraId="46579C97" w14:textId="77777777" w:rsidR="00B322A0" w:rsidRDefault="00000000">
      <w:pPr>
        <w:spacing w:before="174" w:line="264" w:lineRule="auto"/>
        <w:ind w:left="103" w:right="38" w:firstLine="180"/>
        <w:jc w:val="both"/>
        <w:rPr>
          <w:b/>
          <w:sz w:val="16"/>
        </w:rPr>
      </w:pPr>
      <w:r>
        <w:rPr>
          <w:b/>
          <w:color w:val="231F20"/>
          <w:sz w:val="16"/>
        </w:rPr>
        <w:t>Whereas</w:t>
      </w:r>
      <w:r>
        <w:rPr>
          <w:b/>
          <w:color w:val="231F20"/>
          <w:spacing w:val="-1"/>
          <w:sz w:val="16"/>
        </w:rPr>
        <w:t xml:space="preserve"> </w:t>
      </w:r>
      <w:r>
        <w:rPr>
          <w:b/>
          <w:color w:val="231F20"/>
          <w:sz w:val="16"/>
        </w:rPr>
        <w:t>accepted</w:t>
      </w:r>
      <w:r>
        <w:rPr>
          <w:b/>
          <w:color w:val="231F20"/>
          <w:spacing w:val="-1"/>
          <w:sz w:val="16"/>
        </w:rPr>
        <w:t xml:space="preserve"> </w:t>
      </w:r>
      <w:r>
        <w:rPr>
          <w:b/>
          <w:color w:val="231F20"/>
          <w:sz w:val="16"/>
        </w:rPr>
        <w:t>models</w:t>
      </w:r>
      <w:r>
        <w:rPr>
          <w:b/>
          <w:color w:val="231F20"/>
          <w:spacing w:val="-1"/>
          <w:sz w:val="16"/>
        </w:rPr>
        <w:t xml:space="preserve"> </w:t>
      </w:r>
      <w:r>
        <w:rPr>
          <w:b/>
          <w:color w:val="231F20"/>
          <w:sz w:val="16"/>
        </w:rPr>
        <w:t>of</w:t>
      </w:r>
      <w:r>
        <w:rPr>
          <w:b/>
          <w:color w:val="231F20"/>
          <w:spacing w:val="-1"/>
          <w:sz w:val="16"/>
        </w:rPr>
        <w:t xml:space="preserve"> </w:t>
      </w:r>
      <w:r>
        <w:rPr>
          <w:b/>
          <w:color w:val="231F20"/>
          <w:sz w:val="16"/>
        </w:rPr>
        <w:t>tumorigenesis</w:t>
      </w:r>
      <w:r>
        <w:rPr>
          <w:b/>
          <w:color w:val="231F20"/>
          <w:spacing w:val="-1"/>
          <w:sz w:val="16"/>
        </w:rPr>
        <w:t xml:space="preserve"> </w:t>
      </w:r>
      <w:r>
        <w:rPr>
          <w:b/>
          <w:color w:val="231F20"/>
          <w:sz w:val="16"/>
        </w:rPr>
        <w:t>exist</w:t>
      </w:r>
      <w:r>
        <w:rPr>
          <w:b/>
          <w:color w:val="231F20"/>
          <w:spacing w:val="-1"/>
          <w:sz w:val="16"/>
        </w:rPr>
        <w:t xml:space="preserve"> </w:t>
      </w:r>
      <w:r>
        <w:rPr>
          <w:b/>
          <w:color w:val="231F20"/>
          <w:sz w:val="16"/>
        </w:rPr>
        <w:t>for</w:t>
      </w:r>
      <w:r>
        <w:rPr>
          <w:b/>
          <w:color w:val="231F20"/>
          <w:spacing w:val="-1"/>
          <w:sz w:val="16"/>
        </w:rPr>
        <w:t xml:space="preserve"> </w:t>
      </w:r>
      <w:r>
        <w:rPr>
          <w:b/>
          <w:color w:val="231F20"/>
          <w:sz w:val="16"/>
        </w:rPr>
        <w:t>genetic</w:t>
      </w:r>
      <w:r>
        <w:rPr>
          <w:b/>
          <w:color w:val="231F20"/>
          <w:spacing w:val="-1"/>
          <w:sz w:val="16"/>
        </w:rPr>
        <w:t xml:space="preserve"> </w:t>
      </w:r>
      <w:r>
        <w:rPr>
          <w:b/>
          <w:color w:val="231F20"/>
          <w:sz w:val="16"/>
        </w:rPr>
        <w:t>lesions,</w:t>
      </w:r>
      <w:r>
        <w:rPr>
          <w:b/>
          <w:color w:val="231F20"/>
          <w:spacing w:val="-1"/>
          <w:sz w:val="16"/>
        </w:rPr>
        <w:t xml:space="preserve"> </w:t>
      </w:r>
      <w:r>
        <w:rPr>
          <w:b/>
          <w:color w:val="231F20"/>
          <w:sz w:val="16"/>
        </w:rPr>
        <w:t>the</w:t>
      </w:r>
      <w:r>
        <w:rPr>
          <w:b/>
          <w:color w:val="231F20"/>
          <w:spacing w:val="40"/>
          <w:sz w:val="16"/>
        </w:rPr>
        <w:t xml:space="preserve"> </w:t>
      </w:r>
      <w:r>
        <w:rPr>
          <w:b/>
          <w:color w:val="231F20"/>
          <w:sz w:val="16"/>
        </w:rPr>
        <w:t>timing of epigenetic alterations in cancer is not clearly understood. We</w:t>
      </w:r>
      <w:r>
        <w:rPr>
          <w:b/>
          <w:color w:val="231F20"/>
          <w:spacing w:val="40"/>
          <w:sz w:val="16"/>
        </w:rPr>
        <w:t xml:space="preserve"> </w:t>
      </w:r>
      <w:r>
        <w:rPr>
          <w:b/>
          <w:color w:val="231F20"/>
          <w:sz w:val="16"/>
        </w:rPr>
        <w:t>have</w:t>
      </w:r>
      <w:r>
        <w:rPr>
          <w:b/>
          <w:color w:val="231F20"/>
          <w:spacing w:val="-1"/>
          <w:sz w:val="16"/>
        </w:rPr>
        <w:t xml:space="preserve"> </w:t>
      </w:r>
      <w:r>
        <w:rPr>
          <w:b/>
          <w:color w:val="231F20"/>
          <w:sz w:val="16"/>
        </w:rPr>
        <w:t>analyzed</w:t>
      </w:r>
      <w:r>
        <w:rPr>
          <w:b/>
          <w:color w:val="231F20"/>
          <w:spacing w:val="-1"/>
          <w:sz w:val="16"/>
        </w:rPr>
        <w:t xml:space="preserve"> </w:t>
      </w:r>
      <w:r>
        <w:rPr>
          <w:b/>
          <w:color w:val="231F20"/>
          <w:sz w:val="16"/>
        </w:rPr>
        <w:t>the</w:t>
      </w:r>
      <w:r>
        <w:rPr>
          <w:b/>
          <w:color w:val="231F20"/>
          <w:spacing w:val="-1"/>
          <w:sz w:val="16"/>
        </w:rPr>
        <w:t xml:space="preserve"> </w:t>
      </w:r>
      <w:r>
        <w:rPr>
          <w:b/>
          <w:color w:val="231F20"/>
          <w:sz w:val="16"/>
        </w:rPr>
        <w:t>profile</w:t>
      </w:r>
      <w:r>
        <w:rPr>
          <w:b/>
          <w:color w:val="231F20"/>
          <w:spacing w:val="-1"/>
          <w:sz w:val="16"/>
        </w:rPr>
        <w:t xml:space="preserve"> </w:t>
      </w:r>
      <w:r>
        <w:rPr>
          <w:b/>
          <w:color w:val="231F20"/>
          <w:sz w:val="16"/>
        </w:rPr>
        <w:t>of</w:t>
      </w:r>
      <w:r>
        <w:rPr>
          <w:b/>
          <w:color w:val="231F20"/>
          <w:spacing w:val="-1"/>
          <w:sz w:val="16"/>
        </w:rPr>
        <w:t xml:space="preserve"> </w:t>
      </w:r>
      <w:r>
        <w:rPr>
          <w:b/>
          <w:color w:val="231F20"/>
          <w:sz w:val="16"/>
        </w:rPr>
        <w:t>aberrations</w:t>
      </w:r>
      <w:r>
        <w:rPr>
          <w:b/>
          <w:color w:val="231F20"/>
          <w:spacing w:val="-1"/>
          <w:sz w:val="16"/>
        </w:rPr>
        <w:t xml:space="preserve"> </w:t>
      </w:r>
      <w:r>
        <w:rPr>
          <w:b/>
          <w:color w:val="231F20"/>
          <w:sz w:val="16"/>
        </w:rPr>
        <w:t>in</w:t>
      </w:r>
      <w:r>
        <w:rPr>
          <w:b/>
          <w:color w:val="231F20"/>
          <w:spacing w:val="-1"/>
          <w:sz w:val="16"/>
        </w:rPr>
        <w:t xml:space="preserve"> </w:t>
      </w:r>
      <w:r>
        <w:rPr>
          <w:b/>
          <w:color w:val="231F20"/>
          <w:sz w:val="16"/>
        </w:rPr>
        <w:t>DNA</w:t>
      </w:r>
      <w:r>
        <w:rPr>
          <w:b/>
          <w:color w:val="231F20"/>
          <w:spacing w:val="-1"/>
          <w:sz w:val="16"/>
        </w:rPr>
        <w:t xml:space="preserve"> </w:t>
      </w:r>
      <w:r>
        <w:rPr>
          <w:b/>
          <w:color w:val="231F20"/>
          <w:sz w:val="16"/>
        </w:rPr>
        <w:t>methylation</w:t>
      </w:r>
      <w:r>
        <w:rPr>
          <w:b/>
          <w:color w:val="231F20"/>
          <w:spacing w:val="-1"/>
          <w:sz w:val="16"/>
        </w:rPr>
        <w:t xml:space="preserve"> </w:t>
      </w:r>
      <w:r>
        <w:rPr>
          <w:b/>
          <w:color w:val="231F20"/>
          <w:sz w:val="16"/>
        </w:rPr>
        <w:t>occurring</w:t>
      </w:r>
      <w:r>
        <w:rPr>
          <w:b/>
          <w:color w:val="231F20"/>
          <w:spacing w:val="-1"/>
          <w:sz w:val="16"/>
        </w:rPr>
        <w:t xml:space="preserve"> </w:t>
      </w:r>
      <w:r>
        <w:rPr>
          <w:b/>
          <w:color w:val="231F20"/>
          <w:sz w:val="16"/>
        </w:rPr>
        <w:t>in</w:t>
      </w:r>
      <w:r>
        <w:rPr>
          <w:b/>
          <w:color w:val="231F20"/>
          <w:spacing w:val="40"/>
          <w:sz w:val="16"/>
        </w:rPr>
        <w:t xml:space="preserve"> </w:t>
      </w:r>
      <w:r>
        <w:rPr>
          <w:b/>
          <w:color w:val="231F20"/>
          <w:sz w:val="16"/>
        </w:rPr>
        <w:t>cells lines and primary tumors of one of the best-characterized mouse</w:t>
      </w:r>
      <w:r>
        <w:rPr>
          <w:b/>
          <w:color w:val="231F20"/>
          <w:spacing w:val="40"/>
          <w:sz w:val="16"/>
        </w:rPr>
        <w:t xml:space="preserve"> </w:t>
      </w:r>
      <w:r>
        <w:rPr>
          <w:b/>
          <w:color w:val="231F20"/>
          <w:sz w:val="16"/>
        </w:rPr>
        <w:t>carcinogenesis systems, the multistage skin cancer progression model.</w:t>
      </w:r>
      <w:r>
        <w:rPr>
          <w:b/>
          <w:color w:val="231F20"/>
          <w:spacing w:val="40"/>
          <w:sz w:val="16"/>
        </w:rPr>
        <w:t xml:space="preserve"> </w:t>
      </w:r>
      <w:r>
        <w:rPr>
          <w:b/>
          <w:color w:val="231F20"/>
          <w:sz w:val="16"/>
        </w:rPr>
        <w:t>Initial analysis using high-performance capillary electrophoresis and im-</w:t>
      </w:r>
      <w:r>
        <w:rPr>
          <w:b/>
          <w:color w:val="231F20"/>
          <w:spacing w:val="40"/>
          <w:sz w:val="16"/>
        </w:rPr>
        <w:t xml:space="preserve"> </w:t>
      </w:r>
      <w:r>
        <w:rPr>
          <w:b/>
          <w:color w:val="231F20"/>
          <w:sz w:val="16"/>
        </w:rPr>
        <w:t>munolocalization revealed a loss of genomic 5-methylcytosine associated</w:t>
      </w:r>
      <w:r>
        <w:rPr>
          <w:b/>
          <w:color w:val="231F20"/>
          <w:spacing w:val="40"/>
          <w:sz w:val="16"/>
        </w:rPr>
        <w:t xml:space="preserve"> </w:t>
      </w:r>
      <w:r>
        <w:rPr>
          <w:b/>
          <w:color w:val="231F20"/>
          <w:sz w:val="16"/>
        </w:rPr>
        <w:t>with the degree of tumor aggressiveness. Paradoxically, this occurs in the</w:t>
      </w:r>
      <w:r>
        <w:rPr>
          <w:b/>
          <w:color w:val="231F20"/>
          <w:spacing w:val="40"/>
          <w:sz w:val="16"/>
        </w:rPr>
        <w:t xml:space="preserve"> </w:t>
      </w:r>
      <w:r>
        <w:rPr>
          <w:b/>
          <w:color w:val="231F20"/>
          <w:sz w:val="16"/>
        </w:rPr>
        <w:t>context of a growing number of hypermethylated CpG islands of tumor</w:t>
      </w:r>
      <w:r>
        <w:rPr>
          <w:b/>
          <w:color w:val="231F20"/>
          <w:spacing w:val="40"/>
          <w:sz w:val="16"/>
        </w:rPr>
        <w:t xml:space="preserve"> </w:t>
      </w:r>
      <w:r>
        <w:rPr>
          <w:b/>
          <w:color w:val="231F20"/>
          <w:sz w:val="16"/>
        </w:rPr>
        <w:t>suppressor</w:t>
      </w:r>
      <w:r>
        <w:rPr>
          <w:b/>
          <w:color w:val="231F20"/>
          <w:spacing w:val="-1"/>
          <w:sz w:val="16"/>
        </w:rPr>
        <w:t xml:space="preserve"> </w:t>
      </w:r>
      <w:r>
        <w:rPr>
          <w:b/>
          <w:color w:val="231F20"/>
          <w:sz w:val="16"/>
        </w:rPr>
        <w:t>genes</w:t>
      </w:r>
      <w:r>
        <w:rPr>
          <w:b/>
          <w:color w:val="231F20"/>
          <w:spacing w:val="-1"/>
          <w:sz w:val="16"/>
        </w:rPr>
        <w:t xml:space="preserve"> </w:t>
      </w:r>
      <w:r>
        <w:rPr>
          <w:b/>
          <w:color w:val="231F20"/>
          <w:sz w:val="16"/>
        </w:rPr>
        <w:t>at</w:t>
      </w:r>
      <w:r>
        <w:rPr>
          <w:b/>
          <w:color w:val="231F20"/>
          <w:spacing w:val="-1"/>
          <w:sz w:val="16"/>
        </w:rPr>
        <w:t xml:space="preserve"> </w:t>
      </w:r>
      <w:r>
        <w:rPr>
          <w:b/>
          <w:color w:val="231F20"/>
          <w:sz w:val="16"/>
        </w:rPr>
        <w:t>the</w:t>
      </w:r>
      <w:r>
        <w:rPr>
          <w:b/>
          <w:color w:val="231F20"/>
          <w:spacing w:val="-1"/>
          <w:sz w:val="16"/>
        </w:rPr>
        <w:t xml:space="preserve"> </w:t>
      </w:r>
      <w:r>
        <w:rPr>
          <w:b/>
          <w:color w:val="231F20"/>
          <w:sz w:val="16"/>
        </w:rPr>
        <w:t>most</w:t>
      </w:r>
      <w:r>
        <w:rPr>
          <w:b/>
          <w:color w:val="231F20"/>
          <w:spacing w:val="-1"/>
          <w:sz w:val="16"/>
        </w:rPr>
        <w:t xml:space="preserve"> </w:t>
      </w:r>
      <w:r>
        <w:rPr>
          <w:b/>
          <w:color w:val="231F20"/>
          <w:sz w:val="16"/>
        </w:rPr>
        <w:t>malignant</w:t>
      </w:r>
      <w:r>
        <w:rPr>
          <w:b/>
          <w:color w:val="231F20"/>
          <w:spacing w:val="-1"/>
          <w:sz w:val="16"/>
        </w:rPr>
        <w:t xml:space="preserve"> </w:t>
      </w:r>
      <w:r>
        <w:rPr>
          <w:b/>
          <w:color w:val="231F20"/>
          <w:sz w:val="16"/>
        </w:rPr>
        <w:t>stages</w:t>
      </w:r>
      <w:r>
        <w:rPr>
          <w:b/>
          <w:color w:val="231F20"/>
          <w:spacing w:val="-1"/>
          <w:sz w:val="16"/>
        </w:rPr>
        <w:t xml:space="preserve"> </w:t>
      </w:r>
      <w:r>
        <w:rPr>
          <w:b/>
          <w:color w:val="231F20"/>
          <w:sz w:val="16"/>
        </w:rPr>
        <w:t>of</w:t>
      </w:r>
      <w:r>
        <w:rPr>
          <w:b/>
          <w:color w:val="231F20"/>
          <w:spacing w:val="-1"/>
          <w:sz w:val="16"/>
        </w:rPr>
        <w:t xml:space="preserve"> </w:t>
      </w:r>
      <w:r>
        <w:rPr>
          <w:b/>
          <w:color w:val="231F20"/>
          <w:sz w:val="16"/>
        </w:rPr>
        <w:t>carcinogenesis.</w:t>
      </w:r>
      <w:r>
        <w:rPr>
          <w:b/>
          <w:color w:val="231F20"/>
          <w:spacing w:val="-1"/>
          <w:sz w:val="16"/>
        </w:rPr>
        <w:t xml:space="preserve"> </w:t>
      </w:r>
      <w:r>
        <w:rPr>
          <w:b/>
          <w:color w:val="231F20"/>
          <w:sz w:val="16"/>
        </w:rPr>
        <w:t>We</w:t>
      </w:r>
      <w:r>
        <w:rPr>
          <w:b/>
          <w:color w:val="231F20"/>
          <w:spacing w:val="-1"/>
          <w:sz w:val="16"/>
        </w:rPr>
        <w:t xml:space="preserve"> </w:t>
      </w:r>
      <w:r>
        <w:rPr>
          <w:b/>
          <w:color w:val="231F20"/>
          <w:sz w:val="16"/>
        </w:rPr>
        <w:t>have</w:t>
      </w:r>
      <w:r>
        <w:rPr>
          <w:b/>
          <w:color w:val="231F20"/>
          <w:spacing w:val="40"/>
          <w:sz w:val="16"/>
        </w:rPr>
        <w:t xml:space="preserve"> </w:t>
      </w:r>
      <w:r>
        <w:rPr>
          <w:b/>
          <w:color w:val="231F20"/>
          <w:sz w:val="16"/>
        </w:rPr>
        <w:t>observed this last phenomenon using two approaches, a candidate gene</w:t>
      </w:r>
      <w:r>
        <w:rPr>
          <w:b/>
          <w:color w:val="231F20"/>
          <w:spacing w:val="40"/>
          <w:sz w:val="16"/>
        </w:rPr>
        <w:t xml:space="preserve"> </w:t>
      </w:r>
      <w:r>
        <w:rPr>
          <w:b/>
          <w:color w:val="231F20"/>
          <w:sz w:val="16"/>
        </w:rPr>
        <w:t>approach, studying genes with well-known methylation-associated silenc-</w:t>
      </w:r>
      <w:r>
        <w:rPr>
          <w:b/>
          <w:color w:val="231F20"/>
          <w:spacing w:val="40"/>
          <w:sz w:val="16"/>
        </w:rPr>
        <w:t xml:space="preserve"> </w:t>
      </w:r>
      <w:r>
        <w:rPr>
          <w:b/>
          <w:color w:val="231F20"/>
          <w:sz w:val="16"/>
        </w:rPr>
        <w:t>ing in human tumors, and a mouse cDNA microarray expression analysis</w:t>
      </w:r>
      <w:r>
        <w:rPr>
          <w:b/>
          <w:color w:val="231F20"/>
          <w:spacing w:val="40"/>
          <w:sz w:val="16"/>
        </w:rPr>
        <w:t xml:space="preserve"> </w:t>
      </w:r>
      <w:r>
        <w:rPr>
          <w:b/>
          <w:color w:val="231F20"/>
          <w:sz w:val="16"/>
        </w:rPr>
        <w:t>after treatment with DNA demethylating drugs. The transition from</w:t>
      </w:r>
      <w:r>
        <w:rPr>
          <w:b/>
          <w:color w:val="231F20"/>
          <w:spacing w:val="40"/>
          <w:sz w:val="16"/>
        </w:rPr>
        <w:t xml:space="preserve"> </w:t>
      </w:r>
      <w:r>
        <w:rPr>
          <w:b/>
          <w:color w:val="231F20"/>
          <w:sz w:val="16"/>
        </w:rPr>
        <w:t>epithelial</w:t>
      </w:r>
      <w:r>
        <w:rPr>
          <w:b/>
          <w:color w:val="231F20"/>
          <w:spacing w:val="-1"/>
          <w:sz w:val="16"/>
        </w:rPr>
        <w:t xml:space="preserve"> </w:t>
      </w:r>
      <w:r>
        <w:rPr>
          <w:b/>
          <w:color w:val="231F20"/>
          <w:sz w:val="16"/>
        </w:rPr>
        <w:t>to</w:t>
      </w:r>
      <w:r>
        <w:rPr>
          <w:b/>
          <w:color w:val="231F20"/>
          <w:spacing w:val="-1"/>
          <w:sz w:val="16"/>
        </w:rPr>
        <w:t xml:space="preserve"> </w:t>
      </w:r>
      <w:r>
        <w:rPr>
          <w:b/>
          <w:color w:val="231F20"/>
          <w:sz w:val="16"/>
        </w:rPr>
        <w:t>spindle</w:t>
      </w:r>
      <w:r>
        <w:rPr>
          <w:b/>
          <w:color w:val="231F20"/>
          <w:spacing w:val="-1"/>
          <w:sz w:val="16"/>
        </w:rPr>
        <w:t xml:space="preserve"> </w:t>
      </w:r>
      <w:r>
        <w:rPr>
          <w:b/>
          <w:color w:val="231F20"/>
          <w:sz w:val="16"/>
        </w:rPr>
        <w:t>cell</w:t>
      </w:r>
      <w:r>
        <w:rPr>
          <w:b/>
          <w:color w:val="231F20"/>
          <w:spacing w:val="-1"/>
          <w:sz w:val="16"/>
        </w:rPr>
        <w:t xml:space="preserve"> </w:t>
      </w:r>
      <w:r>
        <w:rPr>
          <w:b/>
          <w:color w:val="231F20"/>
          <w:sz w:val="16"/>
        </w:rPr>
        <w:t>morphology</w:t>
      </w:r>
      <w:r>
        <w:rPr>
          <w:b/>
          <w:color w:val="231F20"/>
          <w:spacing w:val="-1"/>
          <w:sz w:val="16"/>
        </w:rPr>
        <w:t xml:space="preserve"> </w:t>
      </w:r>
      <w:r>
        <w:rPr>
          <w:b/>
          <w:color w:val="231F20"/>
          <w:sz w:val="16"/>
        </w:rPr>
        <w:t>is</w:t>
      </w:r>
      <w:r>
        <w:rPr>
          <w:b/>
          <w:color w:val="231F20"/>
          <w:spacing w:val="-1"/>
          <w:sz w:val="16"/>
        </w:rPr>
        <w:t xml:space="preserve"> </w:t>
      </w:r>
      <w:r>
        <w:rPr>
          <w:b/>
          <w:color w:val="231F20"/>
          <w:sz w:val="16"/>
        </w:rPr>
        <w:t>particularly</w:t>
      </w:r>
      <w:r>
        <w:rPr>
          <w:b/>
          <w:color w:val="231F20"/>
          <w:spacing w:val="-1"/>
          <w:sz w:val="16"/>
        </w:rPr>
        <w:t xml:space="preserve"> </w:t>
      </w:r>
      <w:r>
        <w:rPr>
          <w:b/>
          <w:color w:val="231F20"/>
          <w:sz w:val="16"/>
        </w:rPr>
        <w:t>associated</w:t>
      </w:r>
      <w:r>
        <w:rPr>
          <w:b/>
          <w:color w:val="231F20"/>
          <w:spacing w:val="-1"/>
          <w:sz w:val="16"/>
        </w:rPr>
        <w:t xml:space="preserve"> </w:t>
      </w:r>
      <w:r>
        <w:rPr>
          <w:b/>
          <w:color w:val="231F20"/>
          <w:sz w:val="16"/>
        </w:rPr>
        <w:t>with</w:t>
      </w:r>
      <w:r>
        <w:rPr>
          <w:b/>
          <w:color w:val="231F20"/>
          <w:spacing w:val="-1"/>
          <w:sz w:val="16"/>
        </w:rPr>
        <w:t xml:space="preserve"> </w:t>
      </w:r>
      <w:r>
        <w:rPr>
          <w:b/>
          <w:color w:val="231F20"/>
          <w:sz w:val="16"/>
        </w:rPr>
        <w:t>major</w:t>
      </w:r>
      <w:r>
        <w:rPr>
          <w:b/>
          <w:color w:val="231F20"/>
          <w:spacing w:val="40"/>
          <w:sz w:val="16"/>
        </w:rPr>
        <w:t xml:space="preserve"> </w:t>
      </w:r>
      <w:r>
        <w:rPr>
          <w:b/>
          <w:color w:val="231F20"/>
          <w:sz w:val="16"/>
        </w:rPr>
        <w:t xml:space="preserve">epigenetic alterations, such as </w:t>
      </w:r>
      <w:r>
        <w:rPr>
          <w:b/>
          <w:i/>
          <w:color w:val="231F20"/>
          <w:sz w:val="16"/>
        </w:rPr>
        <w:t xml:space="preserve">E-cadherin </w:t>
      </w:r>
      <w:r>
        <w:rPr>
          <w:b/>
          <w:color w:val="231F20"/>
          <w:sz w:val="16"/>
        </w:rPr>
        <w:t>methylation, demethylation of</w:t>
      </w:r>
      <w:r>
        <w:rPr>
          <w:b/>
          <w:color w:val="231F20"/>
          <w:spacing w:val="40"/>
          <w:sz w:val="16"/>
        </w:rPr>
        <w:t xml:space="preserve"> </w:t>
      </w:r>
      <w:r>
        <w:rPr>
          <w:b/>
          <w:color w:val="231F20"/>
          <w:sz w:val="16"/>
        </w:rPr>
        <w:t xml:space="preserve">the </w:t>
      </w:r>
      <w:r>
        <w:rPr>
          <w:b/>
          <w:i/>
          <w:color w:val="231F20"/>
          <w:sz w:val="16"/>
        </w:rPr>
        <w:t xml:space="preserve">Snail </w:t>
      </w:r>
      <w:r>
        <w:rPr>
          <w:b/>
          <w:color w:val="231F20"/>
          <w:sz w:val="16"/>
        </w:rPr>
        <w:t>promoter, and a decrease of the global DNA methylation.</w:t>
      </w:r>
      <w:r>
        <w:rPr>
          <w:b/>
          <w:color w:val="231F20"/>
          <w:spacing w:val="40"/>
          <w:sz w:val="16"/>
        </w:rPr>
        <w:t xml:space="preserve"> </w:t>
      </w:r>
      <w:r>
        <w:rPr>
          <w:b/>
          <w:color w:val="231F20"/>
          <w:sz w:val="16"/>
        </w:rPr>
        <w:t>Analysis of data obtained from the cDNA microarray strategy led to the</w:t>
      </w:r>
      <w:r>
        <w:rPr>
          <w:b/>
          <w:color w:val="231F20"/>
          <w:spacing w:val="40"/>
          <w:sz w:val="16"/>
        </w:rPr>
        <w:t xml:space="preserve"> </w:t>
      </w:r>
      <w:r>
        <w:rPr>
          <w:b/>
          <w:color w:val="231F20"/>
          <w:sz w:val="16"/>
        </w:rPr>
        <w:t>identification of new genes that undergo methylation-associated silencing</w:t>
      </w:r>
      <w:r>
        <w:rPr>
          <w:b/>
          <w:color w:val="231F20"/>
          <w:spacing w:val="40"/>
          <w:sz w:val="16"/>
        </w:rPr>
        <w:t xml:space="preserve"> </w:t>
      </w:r>
      <w:r>
        <w:rPr>
          <w:b/>
          <w:color w:val="231F20"/>
          <w:sz w:val="16"/>
        </w:rPr>
        <w:t>and have growth-inhibitory effects, such as the insulin-like growth factor</w:t>
      </w:r>
      <w:r>
        <w:rPr>
          <w:b/>
          <w:color w:val="231F20"/>
          <w:spacing w:val="40"/>
          <w:sz w:val="16"/>
        </w:rPr>
        <w:t xml:space="preserve"> </w:t>
      </w:r>
      <w:r>
        <w:rPr>
          <w:b/>
          <w:color w:val="231F20"/>
          <w:sz w:val="16"/>
        </w:rPr>
        <w:t>binding protein-3. Most importantly, all of the above genes were also</w:t>
      </w:r>
      <w:r>
        <w:rPr>
          <w:b/>
          <w:color w:val="231F20"/>
          <w:spacing w:val="40"/>
          <w:sz w:val="16"/>
        </w:rPr>
        <w:t xml:space="preserve"> </w:t>
      </w:r>
      <w:r>
        <w:rPr>
          <w:b/>
          <w:color w:val="231F20"/>
          <w:sz w:val="16"/>
        </w:rPr>
        <w:t>hypermethylated in human cancer cell lines and primary tumors, under-</w:t>
      </w:r>
      <w:r>
        <w:rPr>
          <w:b/>
          <w:color w:val="231F20"/>
          <w:spacing w:val="40"/>
          <w:sz w:val="16"/>
        </w:rPr>
        <w:t xml:space="preserve"> </w:t>
      </w:r>
      <w:r>
        <w:rPr>
          <w:b/>
          <w:color w:val="231F20"/>
          <w:sz w:val="16"/>
        </w:rPr>
        <w:t>lining the value of the mouse skin carcinogenesis model for the study of</w:t>
      </w:r>
      <w:r>
        <w:rPr>
          <w:b/>
          <w:color w:val="231F20"/>
          <w:spacing w:val="40"/>
          <w:sz w:val="16"/>
        </w:rPr>
        <w:t xml:space="preserve"> </w:t>
      </w:r>
      <w:r>
        <w:rPr>
          <w:b/>
          <w:color w:val="231F20"/>
          <w:sz w:val="16"/>
        </w:rPr>
        <w:t>aberrant DNA methylation events in cancer cells.</w:t>
      </w:r>
    </w:p>
    <w:p w14:paraId="2A1F389B" w14:textId="77777777" w:rsidR="00B322A0" w:rsidRDefault="00B322A0">
      <w:pPr>
        <w:pStyle w:val="Textoindependiente"/>
        <w:spacing w:before="40"/>
        <w:ind w:left="0"/>
        <w:rPr>
          <w:b/>
          <w:sz w:val="16"/>
        </w:rPr>
      </w:pPr>
    </w:p>
    <w:p w14:paraId="0ACB4D6E" w14:textId="77777777" w:rsidR="00B322A0" w:rsidRDefault="00000000">
      <w:pPr>
        <w:pStyle w:val="Ttulo1"/>
        <w:spacing w:before="1"/>
      </w:pPr>
      <w:r>
        <w:rPr>
          <w:color w:val="231F20"/>
          <w:spacing w:val="-2"/>
        </w:rPr>
        <w:t>Introduction</w:t>
      </w:r>
    </w:p>
    <w:p w14:paraId="34663480" w14:textId="77777777" w:rsidR="00B322A0" w:rsidRDefault="00000000">
      <w:pPr>
        <w:pStyle w:val="Textoindependiente"/>
        <w:spacing w:before="155" w:line="256" w:lineRule="auto"/>
        <w:ind w:right="38" w:firstLine="180"/>
        <w:jc w:val="both"/>
      </w:pPr>
      <w:r>
        <w:rPr>
          <w:color w:val="231F20"/>
        </w:rPr>
        <w:t>DNA methylation is the main epigenetic modification in humans. Aberrant</w:t>
      </w:r>
      <w:r>
        <w:rPr>
          <w:color w:val="231F20"/>
          <w:spacing w:val="-2"/>
        </w:rPr>
        <w:t xml:space="preserve"> </w:t>
      </w:r>
      <w:r>
        <w:rPr>
          <w:color w:val="231F20"/>
        </w:rPr>
        <w:t>DNA</w:t>
      </w:r>
      <w:r>
        <w:rPr>
          <w:color w:val="231F20"/>
          <w:spacing w:val="-2"/>
        </w:rPr>
        <w:t xml:space="preserve"> </w:t>
      </w:r>
      <w:r>
        <w:rPr>
          <w:color w:val="231F20"/>
        </w:rPr>
        <w:t>methylation</w:t>
      </w:r>
      <w:r>
        <w:rPr>
          <w:color w:val="231F20"/>
          <w:spacing w:val="-2"/>
        </w:rPr>
        <w:t xml:space="preserve"> </w:t>
      </w:r>
      <w:r>
        <w:rPr>
          <w:color w:val="231F20"/>
        </w:rPr>
        <w:t>has</w:t>
      </w:r>
      <w:r>
        <w:rPr>
          <w:color w:val="231F20"/>
          <w:spacing w:val="-2"/>
        </w:rPr>
        <w:t xml:space="preserve"> </w:t>
      </w:r>
      <w:r>
        <w:rPr>
          <w:color w:val="231F20"/>
        </w:rPr>
        <w:t>emerged</w:t>
      </w:r>
      <w:r>
        <w:rPr>
          <w:color w:val="231F20"/>
          <w:spacing w:val="-2"/>
        </w:rPr>
        <w:t xml:space="preserve"> </w:t>
      </w:r>
      <w:r>
        <w:rPr>
          <w:color w:val="231F20"/>
        </w:rPr>
        <w:t>in</w:t>
      </w:r>
      <w:r>
        <w:rPr>
          <w:color w:val="231F20"/>
          <w:spacing w:val="-2"/>
        </w:rPr>
        <w:t xml:space="preserve"> </w:t>
      </w:r>
      <w:r>
        <w:rPr>
          <w:color w:val="231F20"/>
        </w:rPr>
        <w:t>recent</w:t>
      </w:r>
      <w:r>
        <w:rPr>
          <w:color w:val="231F20"/>
          <w:spacing w:val="-2"/>
        </w:rPr>
        <w:t xml:space="preserve"> </w:t>
      </w:r>
      <w:r>
        <w:rPr>
          <w:color w:val="231F20"/>
        </w:rPr>
        <w:t>years</w:t>
      </w:r>
      <w:r>
        <w:rPr>
          <w:color w:val="231F20"/>
          <w:spacing w:val="-2"/>
        </w:rPr>
        <w:t xml:space="preserve"> </w:t>
      </w:r>
      <w:r>
        <w:rPr>
          <w:color w:val="231F20"/>
        </w:rPr>
        <w:t>as</w:t>
      </w:r>
      <w:r>
        <w:rPr>
          <w:color w:val="231F20"/>
          <w:spacing w:val="-2"/>
        </w:rPr>
        <w:t xml:space="preserve"> </w:t>
      </w:r>
      <w:r>
        <w:rPr>
          <w:color w:val="231F20"/>
        </w:rPr>
        <w:t>a</w:t>
      </w:r>
      <w:r>
        <w:rPr>
          <w:color w:val="231F20"/>
          <w:spacing w:val="-2"/>
        </w:rPr>
        <w:t xml:space="preserve"> </w:t>
      </w:r>
      <w:r>
        <w:rPr>
          <w:color w:val="231F20"/>
        </w:rPr>
        <w:t>common hallmark</w:t>
      </w:r>
      <w:r>
        <w:rPr>
          <w:color w:val="231F20"/>
          <w:spacing w:val="-5"/>
        </w:rPr>
        <w:t xml:space="preserve"> </w:t>
      </w:r>
      <w:r>
        <w:rPr>
          <w:color w:val="231F20"/>
        </w:rPr>
        <w:t>of</w:t>
      </w:r>
      <w:r>
        <w:rPr>
          <w:color w:val="231F20"/>
          <w:spacing w:val="-5"/>
        </w:rPr>
        <w:t xml:space="preserve"> </w:t>
      </w:r>
      <w:r>
        <w:rPr>
          <w:color w:val="231F20"/>
        </w:rPr>
        <w:t>all</w:t>
      </w:r>
      <w:r>
        <w:rPr>
          <w:color w:val="231F20"/>
          <w:spacing w:val="-5"/>
        </w:rPr>
        <w:t xml:space="preserve"> </w:t>
      </w:r>
      <w:r>
        <w:rPr>
          <w:color w:val="231F20"/>
        </w:rPr>
        <w:t>types</w:t>
      </w:r>
      <w:r>
        <w:rPr>
          <w:color w:val="231F20"/>
          <w:spacing w:val="-5"/>
        </w:rPr>
        <w:t xml:space="preserve"> </w:t>
      </w:r>
      <w:r>
        <w:rPr>
          <w:color w:val="231F20"/>
        </w:rPr>
        <w:t>of</w:t>
      </w:r>
      <w:r>
        <w:rPr>
          <w:color w:val="231F20"/>
          <w:spacing w:val="-5"/>
        </w:rPr>
        <w:t xml:space="preserve"> </w:t>
      </w:r>
      <w:r>
        <w:rPr>
          <w:color w:val="231F20"/>
        </w:rPr>
        <w:t>cancer.</w:t>
      </w:r>
      <w:r>
        <w:rPr>
          <w:color w:val="231F20"/>
          <w:spacing w:val="-5"/>
        </w:rPr>
        <w:t xml:space="preserve"> </w:t>
      </w:r>
      <w:r>
        <w:rPr>
          <w:color w:val="231F20"/>
        </w:rPr>
        <w:t>Two</w:t>
      </w:r>
      <w:r>
        <w:rPr>
          <w:color w:val="231F20"/>
          <w:spacing w:val="-5"/>
        </w:rPr>
        <w:t xml:space="preserve"> </w:t>
      </w:r>
      <w:r>
        <w:rPr>
          <w:color w:val="231F20"/>
        </w:rPr>
        <w:t>DNA</w:t>
      </w:r>
      <w:r>
        <w:rPr>
          <w:color w:val="231F20"/>
          <w:spacing w:val="-5"/>
        </w:rPr>
        <w:t xml:space="preserve"> </w:t>
      </w:r>
      <w:r>
        <w:rPr>
          <w:color w:val="231F20"/>
        </w:rPr>
        <w:t>methylation</w:t>
      </w:r>
      <w:r>
        <w:rPr>
          <w:color w:val="231F20"/>
          <w:spacing w:val="-5"/>
        </w:rPr>
        <w:t xml:space="preserve"> </w:t>
      </w:r>
      <w:r>
        <w:rPr>
          <w:color w:val="231F20"/>
        </w:rPr>
        <w:t>lesions</w:t>
      </w:r>
      <w:r>
        <w:rPr>
          <w:color w:val="231F20"/>
          <w:spacing w:val="-5"/>
        </w:rPr>
        <w:t xml:space="preserve"> </w:t>
      </w:r>
      <w:r>
        <w:rPr>
          <w:color w:val="231F20"/>
        </w:rPr>
        <w:t>coexist in human neoplasms, hypermethylation of the promoter region of specific tumor suppressor genes within a context of genomic hypo- methylation (1–3). It is widely accepted that a succession of accumu- lative</w:t>
      </w:r>
      <w:r>
        <w:rPr>
          <w:color w:val="231F20"/>
          <w:spacing w:val="-8"/>
        </w:rPr>
        <w:t xml:space="preserve"> </w:t>
      </w:r>
      <w:r>
        <w:rPr>
          <w:color w:val="231F20"/>
        </w:rPr>
        <w:t>hits</w:t>
      </w:r>
      <w:r>
        <w:rPr>
          <w:color w:val="231F20"/>
          <w:spacing w:val="-8"/>
        </w:rPr>
        <w:t xml:space="preserve"> </w:t>
      </w:r>
      <w:r>
        <w:rPr>
          <w:color w:val="231F20"/>
        </w:rPr>
        <w:t>occurring</w:t>
      </w:r>
      <w:r>
        <w:rPr>
          <w:color w:val="231F20"/>
          <w:spacing w:val="-8"/>
        </w:rPr>
        <w:t xml:space="preserve"> </w:t>
      </w:r>
      <w:r>
        <w:rPr>
          <w:color w:val="231F20"/>
        </w:rPr>
        <w:t>in</w:t>
      </w:r>
      <w:r>
        <w:rPr>
          <w:color w:val="231F20"/>
          <w:spacing w:val="-8"/>
        </w:rPr>
        <w:t xml:space="preserve"> </w:t>
      </w:r>
      <w:r>
        <w:rPr>
          <w:color w:val="231F20"/>
        </w:rPr>
        <w:t>oncogenes</w:t>
      </w:r>
      <w:r>
        <w:rPr>
          <w:color w:val="231F20"/>
          <w:spacing w:val="-8"/>
        </w:rPr>
        <w:t xml:space="preserve"> </w:t>
      </w:r>
      <w:r>
        <w:rPr>
          <w:color w:val="231F20"/>
        </w:rPr>
        <w:t>and</w:t>
      </w:r>
      <w:r>
        <w:rPr>
          <w:color w:val="231F20"/>
          <w:spacing w:val="-8"/>
        </w:rPr>
        <w:t xml:space="preserve"> </w:t>
      </w:r>
      <w:r>
        <w:rPr>
          <w:color w:val="231F20"/>
        </w:rPr>
        <w:t>tumor</w:t>
      </w:r>
      <w:r>
        <w:rPr>
          <w:color w:val="231F20"/>
          <w:spacing w:val="-8"/>
        </w:rPr>
        <w:t xml:space="preserve"> </w:t>
      </w:r>
      <w:r>
        <w:rPr>
          <w:color w:val="231F20"/>
        </w:rPr>
        <w:t>suppressor</w:t>
      </w:r>
      <w:r>
        <w:rPr>
          <w:color w:val="231F20"/>
          <w:spacing w:val="-8"/>
        </w:rPr>
        <w:t xml:space="preserve"> </w:t>
      </w:r>
      <w:r>
        <w:rPr>
          <w:color w:val="231F20"/>
        </w:rPr>
        <w:t>genes</w:t>
      </w:r>
      <w:r>
        <w:rPr>
          <w:color w:val="231F20"/>
          <w:spacing w:val="-8"/>
        </w:rPr>
        <w:t xml:space="preserve"> </w:t>
      </w:r>
      <w:r>
        <w:rPr>
          <w:color w:val="231F20"/>
        </w:rPr>
        <w:t>leads</w:t>
      </w:r>
      <w:r>
        <w:rPr>
          <w:color w:val="231F20"/>
          <w:spacing w:val="-8"/>
        </w:rPr>
        <w:t xml:space="preserve"> </w:t>
      </w:r>
      <w:r>
        <w:rPr>
          <w:color w:val="231F20"/>
        </w:rPr>
        <w:t>to genetic lesions, as represented in the elegant model of human colo- rectal tumorigenesis proposed by Fearon and Vogelstein (4) in 1990. However, very little is known regarding the precise timetable of epigenetic</w:t>
      </w:r>
      <w:r>
        <w:rPr>
          <w:color w:val="231F20"/>
          <w:spacing w:val="-5"/>
        </w:rPr>
        <w:t xml:space="preserve"> </w:t>
      </w:r>
      <w:r>
        <w:rPr>
          <w:color w:val="231F20"/>
        </w:rPr>
        <w:t>alterations</w:t>
      </w:r>
      <w:r>
        <w:rPr>
          <w:color w:val="231F20"/>
          <w:spacing w:val="-5"/>
        </w:rPr>
        <w:t xml:space="preserve"> </w:t>
      </w:r>
      <w:r>
        <w:rPr>
          <w:color w:val="231F20"/>
        </w:rPr>
        <w:t>occurring</w:t>
      </w:r>
      <w:r>
        <w:rPr>
          <w:color w:val="231F20"/>
          <w:spacing w:val="-5"/>
        </w:rPr>
        <w:t xml:space="preserve"> </w:t>
      </w:r>
      <w:r>
        <w:rPr>
          <w:color w:val="231F20"/>
        </w:rPr>
        <w:t>between</w:t>
      </w:r>
      <w:r>
        <w:rPr>
          <w:color w:val="231F20"/>
          <w:spacing w:val="-5"/>
        </w:rPr>
        <w:t xml:space="preserve"> </w:t>
      </w:r>
      <w:r>
        <w:rPr>
          <w:color w:val="231F20"/>
        </w:rPr>
        <w:t>the</w:t>
      </w:r>
      <w:r>
        <w:rPr>
          <w:color w:val="231F20"/>
          <w:spacing w:val="-5"/>
        </w:rPr>
        <w:t xml:space="preserve"> </w:t>
      </w:r>
      <w:r>
        <w:rPr>
          <w:color w:val="231F20"/>
        </w:rPr>
        <w:t>transition</w:t>
      </w:r>
      <w:r>
        <w:rPr>
          <w:color w:val="231F20"/>
          <w:spacing w:val="-5"/>
        </w:rPr>
        <w:t xml:space="preserve"> </w:t>
      </w:r>
      <w:r>
        <w:rPr>
          <w:color w:val="231F20"/>
        </w:rPr>
        <w:t>of</w:t>
      </w:r>
      <w:r>
        <w:rPr>
          <w:color w:val="231F20"/>
          <w:spacing w:val="-5"/>
        </w:rPr>
        <w:t xml:space="preserve"> </w:t>
      </w:r>
      <w:r>
        <w:rPr>
          <w:color w:val="231F20"/>
        </w:rPr>
        <w:t>a</w:t>
      </w:r>
      <w:r>
        <w:rPr>
          <w:color w:val="231F20"/>
          <w:spacing w:val="-5"/>
        </w:rPr>
        <w:t xml:space="preserve"> </w:t>
      </w:r>
      <w:r>
        <w:rPr>
          <w:color w:val="231F20"/>
        </w:rPr>
        <w:t>normal</w:t>
      </w:r>
      <w:r>
        <w:rPr>
          <w:color w:val="231F20"/>
          <w:spacing w:val="-5"/>
        </w:rPr>
        <w:t xml:space="preserve"> </w:t>
      </w:r>
      <w:r>
        <w:rPr>
          <w:color w:val="231F20"/>
          <w:spacing w:val="-4"/>
        </w:rPr>
        <w:t>cell</w:t>
      </w:r>
    </w:p>
    <w:p w14:paraId="4FF8ED8A" w14:textId="77777777" w:rsidR="00B322A0" w:rsidRDefault="00000000">
      <w:pPr>
        <w:pStyle w:val="Textoindependiente"/>
        <w:spacing w:before="3"/>
        <w:ind w:left="0"/>
        <w:rPr>
          <w:sz w:val="15"/>
        </w:rPr>
      </w:pPr>
      <w:r>
        <w:rPr>
          <w:noProof/>
        </w:rPr>
        <mc:AlternateContent>
          <mc:Choice Requires="wps">
            <w:drawing>
              <wp:anchor distT="0" distB="0" distL="0" distR="0" simplePos="0" relativeHeight="487587840" behindDoc="1" locked="0" layoutInCell="1" allowOverlap="1" wp14:anchorId="1EF228F3" wp14:editId="4B19B710">
                <wp:simplePos x="0" y="0"/>
                <wp:positionH relativeFrom="page">
                  <wp:posOffset>446595</wp:posOffset>
                </wp:positionH>
                <wp:positionV relativeFrom="paragraph">
                  <wp:posOffset>127173</wp:posOffset>
                </wp:positionV>
                <wp:extent cx="106680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6800" cy="1270"/>
                        </a:xfrm>
                        <a:custGeom>
                          <a:avLst/>
                          <a:gdLst/>
                          <a:ahLst/>
                          <a:cxnLst/>
                          <a:rect l="l" t="t" r="r" b="b"/>
                          <a:pathLst>
                            <a:path w="1066800">
                              <a:moveTo>
                                <a:pt x="0" y="0"/>
                              </a:moveTo>
                              <a:lnTo>
                                <a:pt x="1066800" y="0"/>
                              </a:lnTo>
                            </a:path>
                          </a:pathLst>
                        </a:custGeom>
                        <a:ln w="3784">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3E845843" id="Graphic 3" o:spid="_x0000_s1026" style="position:absolute;margin-left:35.15pt;margin-top:10pt;width:84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1066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" path="m,l1066800,e" filled="f" strokecolor="#231f20" strokeweight=".1051mm">
                <v:path arrowok="t"/>
                <w10:wrap type="topAndBottom" anchorx="page"/>
              </v:shape>
            </w:pict>
          </mc:Fallback>
        </mc:AlternateContent>
      </w:r>
    </w:p>
    <w:p w14:paraId="1BBD9536" w14:textId="77777777" w:rsidR="00B322A0" w:rsidRDefault="00000000">
      <w:pPr>
        <w:spacing w:before="83" w:line="155" w:lineRule="exact"/>
        <w:ind w:left="283"/>
        <w:jc w:val="both"/>
        <w:rPr>
          <w:sz w:val="14"/>
        </w:rPr>
      </w:pPr>
      <w:r>
        <w:rPr>
          <w:color w:val="231F20"/>
          <w:sz w:val="14"/>
        </w:rPr>
        <w:t>Received</w:t>
      </w:r>
      <w:r>
        <w:rPr>
          <w:color w:val="231F20"/>
          <w:spacing w:val="11"/>
          <w:sz w:val="14"/>
        </w:rPr>
        <w:t xml:space="preserve"> </w:t>
      </w:r>
      <w:r>
        <w:rPr>
          <w:color w:val="231F20"/>
          <w:sz w:val="14"/>
        </w:rPr>
        <w:t>12/29/03;</w:t>
      </w:r>
      <w:r>
        <w:rPr>
          <w:color w:val="231F20"/>
          <w:spacing w:val="11"/>
          <w:sz w:val="14"/>
        </w:rPr>
        <w:t xml:space="preserve"> </w:t>
      </w:r>
      <w:r>
        <w:rPr>
          <w:color w:val="231F20"/>
          <w:sz w:val="14"/>
        </w:rPr>
        <w:t>revised</w:t>
      </w:r>
      <w:r>
        <w:rPr>
          <w:color w:val="231F20"/>
          <w:spacing w:val="11"/>
          <w:sz w:val="14"/>
        </w:rPr>
        <w:t xml:space="preserve"> </w:t>
      </w:r>
      <w:r>
        <w:rPr>
          <w:color w:val="231F20"/>
          <w:sz w:val="14"/>
        </w:rPr>
        <w:t>5/11/04;</w:t>
      </w:r>
      <w:r>
        <w:rPr>
          <w:color w:val="231F20"/>
          <w:spacing w:val="11"/>
          <w:sz w:val="14"/>
        </w:rPr>
        <w:t xml:space="preserve"> </w:t>
      </w:r>
      <w:r>
        <w:rPr>
          <w:color w:val="231F20"/>
          <w:sz w:val="14"/>
        </w:rPr>
        <w:t>accepted</w:t>
      </w:r>
      <w:r>
        <w:rPr>
          <w:color w:val="231F20"/>
          <w:spacing w:val="11"/>
          <w:sz w:val="14"/>
        </w:rPr>
        <w:t xml:space="preserve"> </w:t>
      </w:r>
      <w:r>
        <w:rPr>
          <w:color w:val="231F20"/>
          <w:spacing w:val="-2"/>
          <w:sz w:val="14"/>
        </w:rPr>
        <w:t>6/24/04.</w:t>
      </w:r>
    </w:p>
    <w:p w14:paraId="5311F66F" w14:textId="77777777" w:rsidR="00B322A0" w:rsidRDefault="00000000">
      <w:pPr>
        <w:spacing w:line="237" w:lineRule="auto"/>
        <w:ind w:left="103" w:right="38" w:firstLine="180"/>
        <w:jc w:val="both"/>
        <w:rPr>
          <w:sz w:val="14"/>
        </w:rPr>
      </w:pPr>
      <w:r>
        <w:rPr>
          <w:b/>
          <w:color w:val="231F20"/>
          <w:sz w:val="14"/>
        </w:rPr>
        <w:t xml:space="preserve">Grant support: </w:t>
      </w:r>
      <w:r>
        <w:rPr>
          <w:color w:val="231F20"/>
          <w:sz w:val="14"/>
        </w:rPr>
        <w:t>Health (FIS) and Science (I</w:t>
      </w:r>
      <w:r>
        <w:rPr>
          <w:rFonts w:ascii="Verdana"/>
          <w:color w:val="231F20"/>
          <w:sz w:val="14"/>
        </w:rPr>
        <w:t>+</w:t>
      </w:r>
      <w:r>
        <w:rPr>
          <w:color w:val="231F20"/>
          <w:sz w:val="14"/>
        </w:rPr>
        <w:t>D) Departments of the Spanish Gov-</w:t>
      </w:r>
      <w:r>
        <w:rPr>
          <w:color w:val="231F20"/>
          <w:spacing w:val="40"/>
          <w:sz w:val="14"/>
        </w:rPr>
        <w:t xml:space="preserve"> </w:t>
      </w:r>
      <w:r>
        <w:rPr>
          <w:color w:val="231F20"/>
          <w:sz w:val="14"/>
        </w:rPr>
        <w:t>ernment and the Asociacion Espanola contra el Cancer (AECC).</w:t>
      </w:r>
    </w:p>
    <w:p w14:paraId="7327D48A" w14:textId="77777777" w:rsidR="00B322A0" w:rsidRDefault="00000000">
      <w:pPr>
        <w:ind w:left="103" w:right="39" w:firstLine="180"/>
        <w:jc w:val="both"/>
        <w:rPr>
          <w:sz w:val="14"/>
        </w:rPr>
      </w:pPr>
      <w:r>
        <w:rPr>
          <w:color w:val="231F20"/>
          <w:sz w:val="14"/>
        </w:rPr>
        <w:t>The costs of publication of this article were defrayed in part by the payment of page</w:t>
      </w:r>
      <w:r>
        <w:rPr>
          <w:color w:val="231F20"/>
          <w:spacing w:val="40"/>
          <w:sz w:val="14"/>
        </w:rPr>
        <w:t xml:space="preserve"> </w:t>
      </w:r>
      <w:r>
        <w:rPr>
          <w:color w:val="231F20"/>
          <w:sz w:val="14"/>
        </w:rPr>
        <w:t xml:space="preserve">charges. This article must therefore be hereby marked </w:t>
      </w:r>
      <w:r>
        <w:rPr>
          <w:i/>
          <w:color w:val="231F20"/>
          <w:sz w:val="14"/>
        </w:rPr>
        <w:t xml:space="preserve">advertisement </w:t>
      </w:r>
      <w:r>
        <w:rPr>
          <w:color w:val="231F20"/>
          <w:sz w:val="14"/>
        </w:rPr>
        <w:t>in accordance with</w:t>
      </w:r>
      <w:r>
        <w:rPr>
          <w:color w:val="231F20"/>
          <w:spacing w:val="40"/>
          <w:sz w:val="14"/>
        </w:rPr>
        <w:t xml:space="preserve"> </w:t>
      </w:r>
      <w:r>
        <w:rPr>
          <w:color w:val="231F20"/>
          <w:sz w:val="14"/>
        </w:rPr>
        <w:t>18 U.S.C. Section 1734 solely to indicate this fact.</w:t>
      </w:r>
    </w:p>
    <w:p w14:paraId="5A11B8A1" w14:textId="77777777" w:rsidR="00B322A0" w:rsidRDefault="00000000">
      <w:pPr>
        <w:spacing w:line="237" w:lineRule="auto"/>
        <w:ind w:left="103" w:right="39" w:firstLine="180"/>
        <w:jc w:val="both"/>
        <w:rPr>
          <w:sz w:val="14"/>
        </w:rPr>
      </w:pPr>
      <w:r>
        <w:rPr>
          <w:b/>
          <w:color w:val="231F20"/>
          <w:sz w:val="14"/>
        </w:rPr>
        <w:t xml:space="preserve">Note: </w:t>
      </w:r>
      <w:r>
        <w:rPr>
          <w:color w:val="231F20"/>
          <w:sz w:val="14"/>
        </w:rPr>
        <w:t>Supplementary data for this article can be found at Cancer Research Online</w:t>
      </w:r>
      <w:r>
        <w:rPr>
          <w:color w:val="231F20"/>
          <w:spacing w:val="40"/>
          <w:sz w:val="14"/>
        </w:rPr>
        <w:t xml:space="preserve"> </w:t>
      </w:r>
      <w:r>
        <w:rPr>
          <w:color w:val="231F20"/>
          <w:spacing w:val="-2"/>
          <w:sz w:val="14"/>
        </w:rPr>
        <w:t>(http://cancerres.aacrjournals.org).</w:t>
      </w:r>
    </w:p>
    <w:p w14:paraId="74E4D41F" w14:textId="77777777" w:rsidR="00B322A0" w:rsidRDefault="00000000">
      <w:pPr>
        <w:ind w:left="103" w:right="38" w:firstLine="180"/>
        <w:jc w:val="both"/>
        <w:rPr>
          <w:sz w:val="14"/>
        </w:rPr>
      </w:pPr>
      <w:r>
        <w:rPr>
          <w:b/>
          <w:color w:val="231F20"/>
          <w:sz w:val="14"/>
        </w:rPr>
        <w:t xml:space="preserve">Requests for reprints: </w:t>
      </w:r>
      <w:r>
        <w:rPr>
          <w:color w:val="231F20"/>
          <w:sz w:val="14"/>
        </w:rPr>
        <w:t>Manel Esteller, Cancer Epigenetics Laboratory, Molecular</w:t>
      </w:r>
      <w:r>
        <w:rPr>
          <w:color w:val="231F20"/>
          <w:spacing w:val="40"/>
          <w:sz w:val="14"/>
        </w:rPr>
        <w:t xml:space="preserve"> </w:t>
      </w:r>
      <w:r>
        <w:rPr>
          <w:color w:val="231F20"/>
          <w:sz w:val="14"/>
        </w:rPr>
        <w:t>Pathology Programme, Spanish National Cancer Centre (CNIO), Melchor Ferna´ndez</w:t>
      </w:r>
      <w:r>
        <w:rPr>
          <w:color w:val="231F20"/>
          <w:spacing w:val="40"/>
          <w:sz w:val="14"/>
        </w:rPr>
        <w:t xml:space="preserve"> </w:t>
      </w:r>
      <w:r>
        <w:rPr>
          <w:color w:val="231F20"/>
          <w:sz w:val="14"/>
        </w:rPr>
        <w:t>Almagro 3, 28029 Madrid, Spain. Phone: 34-91-2246940; Fax: 34-91-2246923; E-mail:</w:t>
      </w:r>
      <w:r>
        <w:rPr>
          <w:color w:val="231F20"/>
          <w:spacing w:val="40"/>
          <w:sz w:val="14"/>
        </w:rPr>
        <w:t xml:space="preserve"> </w:t>
      </w:r>
      <w:hyperlink r:id="rId10">
        <w:r>
          <w:rPr>
            <w:color w:val="231F20"/>
            <w:spacing w:val="-2"/>
            <w:sz w:val="14"/>
          </w:rPr>
          <w:t>mesteller@cnio.es.</w:t>
        </w:r>
      </w:hyperlink>
    </w:p>
    <w:p w14:paraId="09AAAF16" w14:textId="77777777" w:rsidR="00B322A0" w:rsidRDefault="00000000">
      <w:pPr>
        <w:pStyle w:val="Textoindependiente"/>
        <w:spacing w:before="92" w:line="254" w:lineRule="auto"/>
        <w:ind w:right="113"/>
        <w:jc w:val="both"/>
      </w:pPr>
      <w:r>
        <w:br w:type="column"/>
      </w:r>
      <w:r>
        <w:rPr>
          <w:color w:val="231F20"/>
        </w:rPr>
        <w:t>through intermediate tumorigenic stages to a tumor cell with invasive properties. To address this issue we have studied how DNA methyl- ation changes progress in a well-established model system of mouse carcinogenesis, the multistage skin tumor progression model (re- viewed in Refs. 5, 6). In this model, beginning with normal mouse skin, sequential topic application of various mutagens, such as the polycyclic</w:t>
      </w:r>
      <w:r>
        <w:rPr>
          <w:color w:val="231F20"/>
          <w:spacing w:val="-1"/>
        </w:rPr>
        <w:t xml:space="preserve"> </w:t>
      </w:r>
      <w:r>
        <w:rPr>
          <w:color w:val="231F20"/>
        </w:rPr>
        <w:t>aromatic</w:t>
      </w:r>
      <w:r>
        <w:rPr>
          <w:color w:val="231F20"/>
          <w:spacing w:val="-1"/>
        </w:rPr>
        <w:t xml:space="preserve"> </w:t>
      </w:r>
      <w:r>
        <w:rPr>
          <w:color w:val="231F20"/>
        </w:rPr>
        <w:t>hydrocarbon</w:t>
      </w:r>
      <w:r>
        <w:rPr>
          <w:color w:val="231F20"/>
          <w:spacing w:val="-1"/>
        </w:rPr>
        <w:t xml:space="preserve"> </w:t>
      </w:r>
      <w:r>
        <w:rPr>
          <w:color w:val="231F20"/>
        </w:rPr>
        <w:t>dimethylbenzanthracene,</w:t>
      </w:r>
      <w:r>
        <w:rPr>
          <w:color w:val="231F20"/>
          <w:spacing w:val="-1"/>
        </w:rPr>
        <w:t xml:space="preserve"> </w:t>
      </w:r>
      <w:r>
        <w:rPr>
          <w:color w:val="231F20"/>
        </w:rPr>
        <w:t>and</w:t>
      </w:r>
      <w:r>
        <w:rPr>
          <w:color w:val="231F20"/>
          <w:spacing w:val="-1"/>
        </w:rPr>
        <w:t xml:space="preserve"> </w:t>
      </w:r>
      <w:r>
        <w:rPr>
          <w:color w:val="231F20"/>
        </w:rPr>
        <w:t>tumor promoting agents, such as 12-</w:t>
      </w:r>
      <w:r>
        <w:rPr>
          <w:i/>
          <w:color w:val="231F20"/>
        </w:rPr>
        <w:t>O</w:t>
      </w:r>
      <w:r>
        <w:rPr>
          <w:color w:val="231F20"/>
        </w:rPr>
        <w:t>-tetra-decanoylphorbol-13-acetate, generate</w:t>
      </w:r>
      <w:r>
        <w:rPr>
          <w:color w:val="231F20"/>
          <w:spacing w:val="-3"/>
        </w:rPr>
        <w:t xml:space="preserve"> </w:t>
      </w:r>
      <w:r>
        <w:rPr>
          <w:color w:val="231F20"/>
        </w:rPr>
        <w:t>a</w:t>
      </w:r>
      <w:r>
        <w:rPr>
          <w:color w:val="231F20"/>
          <w:spacing w:val="-3"/>
        </w:rPr>
        <w:t xml:space="preserve"> </w:t>
      </w:r>
      <w:r>
        <w:rPr>
          <w:color w:val="231F20"/>
        </w:rPr>
        <w:t>spectrum</w:t>
      </w:r>
      <w:r>
        <w:rPr>
          <w:color w:val="231F20"/>
          <w:spacing w:val="-3"/>
        </w:rPr>
        <w:t xml:space="preserve"> </w:t>
      </w:r>
      <w:r>
        <w:rPr>
          <w:color w:val="231F20"/>
        </w:rPr>
        <w:t>of</w:t>
      </w:r>
      <w:r>
        <w:rPr>
          <w:color w:val="231F20"/>
          <w:spacing w:val="-3"/>
        </w:rPr>
        <w:t xml:space="preserve"> </w:t>
      </w:r>
      <w:r>
        <w:rPr>
          <w:color w:val="231F20"/>
        </w:rPr>
        <w:t>different</w:t>
      </w:r>
      <w:r>
        <w:rPr>
          <w:color w:val="231F20"/>
          <w:spacing w:val="-3"/>
        </w:rPr>
        <w:t xml:space="preserve"> </w:t>
      </w:r>
      <w:r>
        <w:rPr>
          <w:color w:val="231F20"/>
        </w:rPr>
        <w:t>stages</w:t>
      </w:r>
      <w:r>
        <w:rPr>
          <w:color w:val="231F20"/>
          <w:spacing w:val="-3"/>
        </w:rPr>
        <w:t xml:space="preserve"> </w:t>
      </w:r>
      <w:r>
        <w:rPr>
          <w:color w:val="231F20"/>
        </w:rPr>
        <w:t>of</w:t>
      </w:r>
      <w:r>
        <w:rPr>
          <w:color w:val="231F20"/>
          <w:spacing w:val="-3"/>
        </w:rPr>
        <w:t xml:space="preserve"> </w:t>
      </w:r>
      <w:r>
        <w:rPr>
          <w:color w:val="231F20"/>
        </w:rPr>
        <w:t>tumorigenesis</w:t>
      </w:r>
      <w:r>
        <w:rPr>
          <w:color w:val="231F20"/>
          <w:spacing w:val="-3"/>
        </w:rPr>
        <w:t xml:space="preserve"> </w:t>
      </w:r>
      <w:r>
        <w:rPr>
          <w:color w:val="231F20"/>
        </w:rPr>
        <w:t>ranging</w:t>
      </w:r>
      <w:r>
        <w:rPr>
          <w:color w:val="231F20"/>
          <w:spacing w:val="-3"/>
        </w:rPr>
        <w:t xml:space="preserve"> </w:t>
      </w:r>
      <w:r>
        <w:rPr>
          <w:color w:val="231F20"/>
        </w:rPr>
        <w:t>from premalignant</w:t>
      </w:r>
      <w:r>
        <w:rPr>
          <w:color w:val="231F20"/>
          <w:spacing w:val="-6"/>
        </w:rPr>
        <w:t xml:space="preserve"> </w:t>
      </w:r>
      <w:r>
        <w:rPr>
          <w:color w:val="231F20"/>
        </w:rPr>
        <w:t>papilloma</w:t>
      </w:r>
      <w:r>
        <w:rPr>
          <w:color w:val="231F20"/>
          <w:spacing w:val="-6"/>
        </w:rPr>
        <w:t xml:space="preserve"> </w:t>
      </w:r>
      <w:r>
        <w:rPr>
          <w:color w:val="231F20"/>
        </w:rPr>
        <w:t>to</w:t>
      </w:r>
      <w:r>
        <w:rPr>
          <w:color w:val="231F20"/>
          <w:spacing w:val="-6"/>
        </w:rPr>
        <w:t xml:space="preserve"> </w:t>
      </w:r>
      <w:r>
        <w:rPr>
          <w:color w:val="231F20"/>
        </w:rPr>
        <w:t>highly</w:t>
      </w:r>
      <w:r>
        <w:rPr>
          <w:color w:val="231F20"/>
          <w:spacing w:val="-6"/>
        </w:rPr>
        <w:t xml:space="preserve"> </w:t>
      </w:r>
      <w:r>
        <w:rPr>
          <w:color w:val="231F20"/>
        </w:rPr>
        <w:t>metastatic</w:t>
      </w:r>
      <w:r>
        <w:rPr>
          <w:color w:val="231F20"/>
          <w:spacing w:val="-6"/>
        </w:rPr>
        <w:t xml:space="preserve"> </w:t>
      </w:r>
      <w:r>
        <w:rPr>
          <w:color w:val="231F20"/>
        </w:rPr>
        <w:t>tumors</w:t>
      </w:r>
      <w:r>
        <w:rPr>
          <w:color w:val="231F20"/>
          <w:spacing w:val="-6"/>
        </w:rPr>
        <w:t xml:space="preserve"> </w:t>
      </w:r>
      <w:r>
        <w:rPr>
          <w:color w:val="231F20"/>
        </w:rPr>
        <w:t>with</w:t>
      </w:r>
      <w:r>
        <w:rPr>
          <w:color w:val="231F20"/>
          <w:spacing w:val="-6"/>
        </w:rPr>
        <w:t xml:space="preserve"> </w:t>
      </w:r>
      <w:r>
        <w:rPr>
          <w:color w:val="231F20"/>
        </w:rPr>
        <w:t xml:space="preserve">well-defined genetic lesions in </w:t>
      </w:r>
      <w:r>
        <w:rPr>
          <w:i/>
          <w:color w:val="231F20"/>
        </w:rPr>
        <w:t xml:space="preserve">H-ras </w:t>
      </w:r>
      <w:r>
        <w:rPr>
          <w:color w:val="231F20"/>
        </w:rPr>
        <w:t xml:space="preserve">or </w:t>
      </w:r>
      <w:r>
        <w:rPr>
          <w:i/>
          <w:color w:val="231F20"/>
        </w:rPr>
        <w:t xml:space="preserve">p53 </w:t>
      </w:r>
      <w:r>
        <w:rPr>
          <w:color w:val="231F20"/>
        </w:rPr>
        <w:t>(reviewed in Refs. 5, 6). We have examined</w:t>
      </w:r>
      <w:r>
        <w:rPr>
          <w:color w:val="231F20"/>
          <w:spacing w:val="-7"/>
        </w:rPr>
        <w:t xml:space="preserve"> </w:t>
      </w:r>
      <w:r>
        <w:rPr>
          <w:color w:val="231F20"/>
        </w:rPr>
        <w:t>the</w:t>
      </w:r>
      <w:r>
        <w:rPr>
          <w:color w:val="231F20"/>
          <w:spacing w:val="-7"/>
        </w:rPr>
        <w:t xml:space="preserve"> </w:t>
      </w:r>
      <w:r>
        <w:rPr>
          <w:color w:val="231F20"/>
        </w:rPr>
        <w:t>aberrant</w:t>
      </w:r>
      <w:r>
        <w:rPr>
          <w:color w:val="231F20"/>
          <w:spacing w:val="-7"/>
        </w:rPr>
        <w:t xml:space="preserve"> </w:t>
      </w:r>
      <w:r>
        <w:rPr>
          <w:color w:val="231F20"/>
        </w:rPr>
        <w:t>DNA</w:t>
      </w:r>
      <w:r>
        <w:rPr>
          <w:color w:val="231F20"/>
          <w:spacing w:val="-7"/>
        </w:rPr>
        <w:t xml:space="preserve"> </w:t>
      </w:r>
      <w:r>
        <w:rPr>
          <w:color w:val="231F20"/>
        </w:rPr>
        <w:t>methylation</w:t>
      </w:r>
      <w:r>
        <w:rPr>
          <w:color w:val="231F20"/>
          <w:spacing w:val="-7"/>
        </w:rPr>
        <w:t xml:space="preserve"> </w:t>
      </w:r>
      <w:r>
        <w:rPr>
          <w:color w:val="231F20"/>
        </w:rPr>
        <w:t>profile</w:t>
      </w:r>
      <w:r>
        <w:rPr>
          <w:color w:val="231F20"/>
          <w:spacing w:val="-7"/>
        </w:rPr>
        <w:t xml:space="preserve"> </w:t>
      </w:r>
      <w:r>
        <w:rPr>
          <w:color w:val="231F20"/>
        </w:rPr>
        <w:t>(by</w:t>
      </w:r>
      <w:r>
        <w:rPr>
          <w:color w:val="231F20"/>
          <w:spacing w:val="-7"/>
        </w:rPr>
        <w:t xml:space="preserve"> </w:t>
      </w:r>
      <w:r>
        <w:rPr>
          <w:color w:val="231F20"/>
        </w:rPr>
        <w:t>candidate</w:t>
      </w:r>
      <w:r>
        <w:rPr>
          <w:color w:val="231F20"/>
          <w:spacing w:val="-7"/>
        </w:rPr>
        <w:t xml:space="preserve"> </w:t>
      </w:r>
      <w:r>
        <w:rPr>
          <w:color w:val="231F20"/>
        </w:rPr>
        <w:t>gene</w:t>
      </w:r>
      <w:r>
        <w:rPr>
          <w:color w:val="231F20"/>
          <w:spacing w:val="-7"/>
        </w:rPr>
        <w:t xml:space="preserve"> </w:t>
      </w:r>
      <w:r>
        <w:rPr>
          <w:color w:val="231F20"/>
        </w:rPr>
        <w:t>as well as genomic DNA and RNA approaches) of all stages of mouse skin tumor progression, including normal mouse skin; nontumori- genic and tumorigenic immortalized keratinocytes (MCA3D and PAM212, respectively; Refs. 7, 8); benign papilloma cells (PB and MSCP6; Refs. 9, 10); tumorigenic squamous carcinoma cells repre- sentative of different degrees of differentiation, invasion, and metas- tasis (PDV, MSC11B9, and HaCa4; Refs. 11–13); and highly ana- plastic spindle carcinoma cell lines displaying metastatic behavior (MSC11A5, CarB, and CarC; Refs. 13, 14). Aberrantly methylated genes identified by the mouse study were confirmed in human neo- plasms to evaluate the potential of this system to find clinically relevant genes with methylation-associated inactivation and also its ability to serve as a tool to improve understanding of the timing and hierarchy of epigenetic lesions in human cancer.</w:t>
      </w:r>
    </w:p>
    <w:p w14:paraId="740BA25A" w14:textId="77777777" w:rsidR="00B322A0" w:rsidRDefault="00000000">
      <w:pPr>
        <w:pStyle w:val="Ttulo1"/>
        <w:spacing w:before="206"/>
        <w:jc w:val="both"/>
      </w:pPr>
      <w:r>
        <w:rPr>
          <w:color w:val="231F20"/>
        </w:rPr>
        <w:t>Materials</w:t>
      </w:r>
      <w:r>
        <w:rPr>
          <w:color w:val="231F20"/>
          <w:spacing w:val="14"/>
        </w:rPr>
        <w:t xml:space="preserve"> </w:t>
      </w:r>
      <w:r>
        <w:rPr>
          <w:color w:val="231F20"/>
        </w:rPr>
        <w:t>and</w:t>
      </w:r>
      <w:r>
        <w:rPr>
          <w:color w:val="231F20"/>
          <w:spacing w:val="14"/>
        </w:rPr>
        <w:t xml:space="preserve"> </w:t>
      </w:r>
      <w:r>
        <w:rPr>
          <w:color w:val="231F20"/>
          <w:spacing w:val="-2"/>
        </w:rPr>
        <w:t>Methods</w:t>
      </w:r>
    </w:p>
    <w:p w14:paraId="7D603BD8" w14:textId="77777777" w:rsidR="00B322A0" w:rsidRDefault="00000000">
      <w:pPr>
        <w:spacing w:before="172" w:line="261" w:lineRule="auto"/>
        <w:ind w:left="103" w:right="113" w:firstLine="180"/>
        <w:jc w:val="both"/>
        <w:rPr>
          <w:sz w:val="16"/>
        </w:rPr>
      </w:pPr>
      <w:r>
        <w:rPr>
          <w:b/>
          <w:color w:val="231F20"/>
          <w:sz w:val="16"/>
        </w:rPr>
        <w:t>Mouse and Human Tumorigenic Cell Lines and Primary Tumors.</w:t>
      </w:r>
      <w:r>
        <w:rPr>
          <w:b/>
          <w:color w:val="231F20"/>
          <w:spacing w:val="34"/>
          <w:sz w:val="16"/>
        </w:rPr>
        <w:t xml:space="preserve"> </w:t>
      </w:r>
      <w:r>
        <w:rPr>
          <w:color w:val="231F20"/>
          <w:sz w:val="16"/>
        </w:rPr>
        <w:t>The</w:t>
      </w:r>
      <w:r>
        <w:rPr>
          <w:color w:val="231F20"/>
          <w:spacing w:val="40"/>
          <w:sz w:val="16"/>
        </w:rPr>
        <w:t xml:space="preserve"> </w:t>
      </w:r>
      <w:r>
        <w:rPr>
          <w:color w:val="231F20"/>
          <w:sz w:val="16"/>
        </w:rPr>
        <w:t>generation and culture conditions of the cell lines from the mouse skin</w:t>
      </w:r>
      <w:r>
        <w:rPr>
          <w:color w:val="231F20"/>
          <w:spacing w:val="40"/>
          <w:sz w:val="16"/>
        </w:rPr>
        <w:t xml:space="preserve"> </w:t>
      </w:r>
      <w:r>
        <w:rPr>
          <w:color w:val="231F20"/>
          <w:sz w:val="16"/>
        </w:rPr>
        <w:t>multistage tumor progression model have been described previously (7–14).</w:t>
      </w:r>
      <w:r>
        <w:rPr>
          <w:color w:val="231F20"/>
          <w:spacing w:val="40"/>
          <w:sz w:val="16"/>
        </w:rPr>
        <w:t xml:space="preserve"> </w:t>
      </w:r>
      <w:r>
        <w:rPr>
          <w:color w:val="231F20"/>
          <w:sz w:val="16"/>
        </w:rPr>
        <w:t>According to an increasing order of tumorigenicity activity, they included</w:t>
      </w:r>
      <w:r>
        <w:rPr>
          <w:color w:val="231F20"/>
          <w:spacing w:val="40"/>
          <w:sz w:val="16"/>
        </w:rPr>
        <w:t xml:space="preserve"> </w:t>
      </w:r>
      <w:r>
        <w:rPr>
          <w:color w:val="231F20"/>
          <w:sz w:val="16"/>
        </w:rPr>
        <w:t>MCA3D</w:t>
      </w:r>
      <w:r>
        <w:rPr>
          <w:color w:val="231F20"/>
          <w:spacing w:val="53"/>
          <w:sz w:val="16"/>
        </w:rPr>
        <w:t xml:space="preserve"> </w:t>
      </w:r>
      <w:r>
        <w:rPr>
          <w:color w:val="231F20"/>
          <w:sz w:val="16"/>
        </w:rPr>
        <w:t>(8,</w:t>
      </w:r>
      <w:r>
        <w:rPr>
          <w:color w:val="231F20"/>
          <w:spacing w:val="53"/>
          <w:sz w:val="16"/>
        </w:rPr>
        <w:t xml:space="preserve"> </w:t>
      </w:r>
      <w:r>
        <w:rPr>
          <w:color w:val="231F20"/>
          <w:sz w:val="16"/>
        </w:rPr>
        <w:t>11);</w:t>
      </w:r>
      <w:r>
        <w:rPr>
          <w:color w:val="231F20"/>
          <w:spacing w:val="53"/>
          <w:sz w:val="16"/>
        </w:rPr>
        <w:t xml:space="preserve"> </w:t>
      </w:r>
      <w:r>
        <w:rPr>
          <w:color w:val="231F20"/>
          <w:sz w:val="16"/>
        </w:rPr>
        <w:t>PB</w:t>
      </w:r>
      <w:r>
        <w:rPr>
          <w:color w:val="231F20"/>
          <w:spacing w:val="53"/>
          <w:sz w:val="16"/>
        </w:rPr>
        <w:t xml:space="preserve"> </w:t>
      </w:r>
      <w:r>
        <w:rPr>
          <w:color w:val="231F20"/>
          <w:sz w:val="16"/>
        </w:rPr>
        <w:t>and</w:t>
      </w:r>
      <w:r>
        <w:rPr>
          <w:color w:val="231F20"/>
          <w:spacing w:val="53"/>
          <w:sz w:val="16"/>
        </w:rPr>
        <w:t xml:space="preserve"> </w:t>
      </w:r>
      <w:r>
        <w:rPr>
          <w:color w:val="231F20"/>
          <w:sz w:val="16"/>
        </w:rPr>
        <w:t>MSCP6</w:t>
      </w:r>
      <w:r>
        <w:rPr>
          <w:color w:val="231F20"/>
          <w:spacing w:val="53"/>
          <w:sz w:val="16"/>
        </w:rPr>
        <w:t xml:space="preserve"> </w:t>
      </w:r>
      <w:r>
        <w:rPr>
          <w:color w:val="231F20"/>
          <w:sz w:val="16"/>
        </w:rPr>
        <w:t>(9,</w:t>
      </w:r>
      <w:r>
        <w:rPr>
          <w:color w:val="231F20"/>
          <w:spacing w:val="53"/>
          <w:sz w:val="16"/>
        </w:rPr>
        <w:t xml:space="preserve"> </w:t>
      </w:r>
      <w:r>
        <w:rPr>
          <w:color w:val="231F20"/>
          <w:sz w:val="16"/>
        </w:rPr>
        <w:t>10);</w:t>
      </w:r>
      <w:r>
        <w:rPr>
          <w:color w:val="231F20"/>
          <w:spacing w:val="53"/>
          <w:sz w:val="16"/>
        </w:rPr>
        <w:t xml:space="preserve"> </w:t>
      </w:r>
      <w:r>
        <w:rPr>
          <w:color w:val="231F20"/>
          <w:sz w:val="16"/>
        </w:rPr>
        <w:t>PDV</w:t>
      </w:r>
      <w:r>
        <w:rPr>
          <w:color w:val="231F20"/>
          <w:spacing w:val="53"/>
          <w:sz w:val="16"/>
        </w:rPr>
        <w:t xml:space="preserve"> </w:t>
      </w:r>
      <w:r>
        <w:rPr>
          <w:color w:val="231F20"/>
          <w:sz w:val="16"/>
        </w:rPr>
        <w:t>(8,</w:t>
      </w:r>
      <w:r>
        <w:rPr>
          <w:color w:val="231F20"/>
          <w:spacing w:val="53"/>
          <w:sz w:val="16"/>
        </w:rPr>
        <w:t xml:space="preserve"> </w:t>
      </w:r>
      <w:r>
        <w:rPr>
          <w:color w:val="231F20"/>
          <w:sz w:val="16"/>
        </w:rPr>
        <w:t>11);</w:t>
      </w:r>
      <w:r>
        <w:rPr>
          <w:color w:val="231F20"/>
          <w:spacing w:val="53"/>
          <w:sz w:val="16"/>
        </w:rPr>
        <w:t xml:space="preserve"> </w:t>
      </w:r>
      <w:r>
        <w:rPr>
          <w:color w:val="231F20"/>
          <w:sz w:val="16"/>
        </w:rPr>
        <w:t>PAM212</w:t>
      </w:r>
      <w:r>
        <w:rPr>
          <w:color w:val="231F20"/>
          <w:spacing w:val="53"/>
          <w:sz w:val="16"/>
        </w:rPr>
        <w:t xml:space="preserve"> </w:t>
      </w:r>
      <w:r>
        <w:rPr>
          <w:color w:val="231F20"/>
          <w:spacing w:val="-4"/>
          <w:sz w:val="16"/>
        </w:rPr>
        <w:t>(7);</w:t>
      </w:r>
    </w:p>
    <w:p w14:paraId="6FE4D60F" w14:textId="77777777" w:rsidR="00B322A0" w:rsidRDefault="00000000">
      <w:pPr>
        <w:spacing w:line="181" w:lineRule="exact"/>
        <w:ind w:left="103"/>
        <w:jc w:val="both"/>
        <w:rPr>
          <w:sz w:val="16"/>
        </w:rPr>
      </w:pPr>
      <w:r>
        <w:rPr>
          <w:color w:val="231F20"/>
          <w:sz w:val="16"/>
        </w:rPr>
        <w:t>MSC11B9</w:t>
      </w:r>
      <w:r>
        <w:rPr>
          <w:color w:val="231F20"/>
          <w:spacing w:val="3"/>
          <w:sz w:val="16"/>
        </w:rPr>
        <w:t xml:space="preserve"> </w:t>
      </w:r>
      <w:r>
        <w:rPr>
          <w:color w:val="231F20"/>
          <w:sz w:val="16"/>
        </w:rPr>
        <w:t>and</w:t>
      </w:r>
      <w:r>
        <w:rPr>
          <w:color w:val="231F20"/>
          <w:spacing w:val="3"/>
          <w:sz w:val="16"/>
        </w:rPr>
        <w:t xml:space="preserve"> </w:t>
      </w:r>
      <w:r>
        <w:rPr>
          <w:color w:val="231F20"/>
          <w:sz w:val="16"/>
        </w:rPr>
        <w:t>MSC11A5</w:t>
      </w:r>
      <w:r>
        <w:rPr>
          <w:color w:val="231F20"/>
          <w:spacing w:val="3"/>
          <w:sz w:val="16"/>
        </w:rPr>
        <w:t xml:space="preserve"> </w:t>
      </w:r>
      <w:r>
        <w:rPr>
          <w:color w:val="231F20"/>
          <w:sz w:val="16"/>
        </w:rPr>
        <w:t>(13,</w:t>
      </w:r>
      <w:r>
        <w:rPr>
          <w:color w:val="231F20"/>
          <w:spacing w:val="3"/>
          <w:sz w:val="16"/>
        </w:rPr>
        <w:t xml:space="preserve"> </w:t>
      </w:r>
      <w:r>
        <w:rPr>
          <w:color w:val="231F20"/>
          <w:sz w:val="16"/>
        </w:rPr>
        <w:t>14);</w:t>
      </w:r>
      <w:r>
        <w:rPr>
          <w:color w:val="231F20"/>
          <w:spacing w:val="3"/>
          <w:sz w:val="16"/>
        </w:rPr>
        <w:t xml:space="preserve"> </w:t>
      </w:r>
      <w:r>
        <w:rPr>
          <w:color w:val="231F20"/>
          <w:sz w:val="16"/>
        </w:rPr>
        <w:t>HaCa4</w:t>
      </w:r>
      <w:r>
        <w:rPr>
          <w:color w:val="231F20"/>
          <w:spacing w:val="3"/>
          <w:sz w:val="16"/>
        </w:rPr>
        <w:t xml:space="preserve"> </w:t>
      </w:r>
      <w:r>
        <w:rPr>
          <w:color w:val="231F20"/>
          <w:sz w:val="16"/>
        </w:rPr>
        <w:t>(12);</w:t>
      </w:r>
      <w:r>
        <w:rPr>
          <w:color w:val="231F20"/>
          <w:spacing w:val="3"/>
          <w:sz w:val="16"/>
        </w:rPr>
        <w:t xml:space="preserve"> </w:t>
      </w:r>
      <w:r>
        <w:rPr>
          <w:color w:val="231F20"/>
          <w:sz w:val="16"/>
        </w:rPr>
        <w:t>and</w:t>
      </w:r>
      <w:r>
        <w:rPr>
          <w:color w:val="231F20"/>
          <w:spacing w:val="3"/>
          <w:sz w:val="16"/>
        </w:rPr>
        <w:t xml:space="preserve"> </w:t>
      </w:r>
      <w:r>
        <w:rPr>
          <w:color w:val="231F20"/>
          <w:sz w:val="16"/>
        </w:rPr>
        <w:t>CarB</w:t>
      </w:r>
      <w:r>
        <w:rPr>
          <w:color w:val="231F20"/>
          <w:spacing w:val="3"/>
          <w:sz w:val="16"/>
        </w:rPr>
        <w:t xml:space="preserve"> </w:t>
      </w:r>
      <w:r>
        <w:rPr>
          <w:color w:val="231F20"/>
          <w:sz w:val="16"/>
        </w:rPr>
        <w:t>and</w:t>
      </w:r>
      <w:r>
        <w:rPr>
          <w:color w:val="231F20"/>
          <w:spacing w:val="3"/>
          <w:sz w:val="16"/>
        </w:rPr>
        <w:t xml:space="preserve"> </w:t>
      </w:r>
      <w:r>
        <w:rPr>
          <w:color w:val="231F20"/>
          <w:sz w:val="16"/>
        </w:rPr>
        <w:t>CarC</w:t>
      </w:r>
      <w:r>
        <w:rPr>
          <w:color w:val="231F20"/>
          <w:spacing w:val="3"/>
          <w:sz w:val="16"/>
        </w:rPr>
        <w:t xml:space="preserve"> </w:t>
      </w:r>
      <w:r>
        <w:rPr>
          <w:color w:val="231F20"/>
          <w:sz w:val="16"/>
        </w:rPr>
        <w:t>(13,</w:t>
      </w:r>
      <w:r>
        <w:rPr>
          <w:color w:val="231F20"/>
          <w:spacing w:val="3"/>
          <w:sz w:val="16"/>
        </w:rPr>
        <w:t xml:space="preserve"> </w:t>
      </w:r>
      <w:r>
        <w:rPr>
          <w:color w:val="231F20"/>
          <w:spacing w:val="-4"/>
          <w:sz w:val="16"/>
        </w:rPr>
        <w:t>14).</w:t>
      </w:r>
    </w:p>
    <w:p w14:paraId="38F502BF" w14:textId="77777777" w:rsidR="00B322A0" w:rsidRDefault="00000000">
      <w:pPr>
        <w:spacing w:before="16" w:line="259" w:lineRule="auto"/>
        <w:ind w:left="103" w:right="114"/>
        <w:jc w:val="both"/>
        <w:rPr>
          <w:sz w:val="16"/>
        </w:rPr>
      </w:pPr>
      <w:r>
        <w:rPr>
          <w:color w:val="231F20"/>
          <w:sz w:val="16"/>
        </w:rPr>
        <w:t>Thirty human cancer cell lines corresponding to 14 cell types were obtained</w:t>
      </w:r>
      <w:r>
        <w:rPr>
          <w:color w:val="231F20"/>
          <w:spacing w:val="40"/>
          <w:sz w:val="16"/>
        </w:rPr>
        <w:t xml:space="preserve"> </w:t>
      </w:r>
      <w:r>
        <w:rPr>
          <w:color w:val="231F20"/>
          <w:sz w:val="16"/>
        </w:rPr>
        <w:t>from the American Type Culture Collection (Rockville, MD) and the German</w:t>
      </w:r>
      <w:r>
        <w:rPr>
          <w:color w:val="231F20"/>
          <w:spacing w:val="40"/>
          <w:sz w:val="16"/>
        </w:rPr>
        <w:t xml:space="preserve"> </w:t>
      </w:r>
      <w:r>
        <w:rPr>
          <w:color w:val="231F20"/>
          <w:sz w:val="16"/>
        </w:rPr>
        <w:t>Collection of Microorganisms and Cell Cultures (Braunschweig, Germany).</w:t>
      </w:r>
      <w:r>
        <w:rPr>
          <w:color w:val="231F20"/>
          <w:spacing w:val="40"/>
          <w:sz w:val="16"/>
        </w:rPr>
        <w:t xml:space="preserve"> </w:t>
      </w:r>
      <w:r>
        <w:rPr>
          <w:color w:val="231F20"/>
          <w:sz w:val="16"/>
        </w:rPr>
        <w:t>Demethylating treatments were carried out using 5-aza-2-deoxycytidine (5</w:t>
      </w:r>
      <w:r>
        <w:rPr>
          <w:color w:val="231F20"/>
          <w:spacing w:val="40"/>
          <w:sz w:val="16"/>
        </w:rPr>
        <w:t xml:space="preserve"> </w:t>
      </w:r>
      <w:r>
        <w:rPr>
          <w:rFonts w:ascii="Verdana" w:hAnsi="Verdana"/>
          <w:color w:val="231F20"/>
          <w:sz w:val="16"/>
        </w:rPr>
        <w:t>µ</w:t>
      </w:r>
      <w:r>
        <w:rPr>
          <w:color w:val="231F20"/>
          <w:sz w:val="12"/>
        </w:rPr>
        <w:t>M</w:t>
      </w:r>
      <w:r>
        <w:rPr>
          <w:color w:val="231F20"/>
          <w:sz w:val="16"/>
        </w:rPr>
        <w:t>) for 48 h, with drug and medium replaced 24 h after the beginning of the</w:t>
      </w:r>
      <w:r>
        <w:rPr>
          <w:color w:val="231F20"/>
          <w:spacing w:val="40"/>
          <w:sz w:val="16"/>
        </w:rPr>
        <w:t xml:space="preserve"> </w:t>
      </w:r>
      <w:r>
        <w:rPr>
          <w:color w:val="231F20"/>
          <w:sz w:val="16"/>
        </w:rPr>
        <w:t>treatment.</w:t>
      </w:r>
      <w:r>
        <w:rPr>
          <w:color w:val="231F20"/>
          <w:spacing w:val="-6"/>
          <w:sz w:val="16"/>
        </w:rPr>
        <w:t xml:space="preserve"> </w:t>
      </w:r>
      <w:r>
        <w:rPr>
          <w:color w:val="231F20"/>
          <w:sz w:val="16"/>
        </w:rPr>
        <w:t>Tissue</w:t>
      </w:r>
      <w:r>
        <w:rPr>
          <w:color w:val="231F20"/>
          <w:spacing w:val="-6"/>
          <w:sz w:val="16"/>
        </w:rPr>
        <w:t xml:space="preserve"> </w:t>
      </w:r>
      <w:r>
        <w:rPr>
          <w:color w:val="231F20"/>
          <w:sz w:val="16"/>
        </w:rPr>
        <w:t>samples</w:t>
      </w:r>
      <w:r>
        <w:rPr>
          <w:color w:val="231F20"/>
          <w:spacing w:val="-6"/>
          <w:sz w:val="16"/>
        </w:rPr>
        <w:t xml:space="preserve"> </w:t>
      </w:r>
      <w:r>
        <w:rPr>
          <w:color w:val="231F20"/>
          <w:sz w:val="16"/>
        </w:rPr>
        <w:t>of</w:t>
      </w:r>
      <w:r>
        <w:rPr>
          <w:color w:val="231F20"/>
          <w:spacing w:val="-6"/>
          <w:sz w:val="16"/>
        </w:rPr>
        <w:t xml:space="preserve"> </w:t>
      </w:r>
      <w:r>
        <w:rPr>
          <w:color w:val="231F20"/>
          <w:sz w:val="16"/>
        </w:rPr>
        <w:t>86</w:t>
      </w:r>
      <w:r>
        <w:rPr>
          <w:color w:val="231F20"/>
          <w:spacing w:val="-6"/>
          <w:sz w:val="16"/>
        </w:rPr>
        <w:t xml:space="preserve"> </w:t>
      </w:r>
      <w:r>
        <w:rPr>
          <w:color w:val="231F20"/>
          <w:sz w:val="16"/>
        </w:rPr>
        <w:t>human</w:t>
      </w:r>
      <w:r>
        <w:rPr>
          <w:color w:val="231F20"/>
          <w:spacing w:val="-6"/>
          <w:sz w:val="16"/>
        </w:rPr>
        <w:t xml:space="preserve"> </w:t>
      </w:r>
      <w:r>
        <w:rPr>
          <w:color w:val="231F20"/>
          <w:sz w:val="16"/>
        </w:rPr>
        <w:t>primary</w:t>
      </w:r>
      <w:r>
        <w:rPr>
          <w:color w:val="231F20"/>
          <w:spacing w:val="-6"/>
          <w:sz w:val="16"/>
        </w:rPr>
        <w:t xml:space="preserve"> </w:t>
      </w:r>
      <w:r>
        <w:rPr>
          <w:color w:val="231F20"/>
          <w:sz w:val="16"/>
        </w:rPr>
        <w:t>malignancies</w:t>
      </w:r>
      <w:r>
        <w:rPr>
          <w:color w:val="231F20"/>
          <w:spacing w:val="-6"/>
          <w:sz w:val="16"/>
        </w:rPr>
        <w:t xml:space="preserve"> </w:t>
      </w:r>
      <w:r>
        <w:rPr>
          <w:color w:val="231F20"/>
          <w:sz w:val="16"/>
        </w:rPr>
        <w:t>corresponding</w:t>
      </w:r>
      <w:r>
        <w:rPr>
          <w:color w:val="231F20"/>
          <w:spacing w:val="-6"/>
          <w:sz w:val="16"/>
        </w:rPr>
        <w:t xml:space="preserve"> </w:t>
      </w:r>
      <w:r>
        <w:rPr>
          <w:color w:val="231F20"/>
          <w:sz w:val="16"/>
        </w:rPr>
        <w:t>to</w:t>
      </w:r>
      <w:r>
        <w:rPr>
          <w:color w:val="231F20"/>
          <w:spacing w:val="40"/>
          <w:sz w:val="16"/>
        </w:rPr>
        <w:t xml:space="preserve"> </w:t>
      </w:r>
      <w:r>
        <w:rPr>
          <w:color w:val="231F20"/>
          <w:sz w:val="16"/>
        </w:rPr>
        <w:t>colon,</w:t>
      </w:r>
      <w:r>
        <w:rPr>
          <w:color w:val="231F20"/>
          <w:spacing w:val="-8"/>
          <w:sz w:val="16"/>
        </w:rPr>
        <w:t xml:space="preserve"> </w:t>
      </w:r>
      <w:r>
        <w:rPr>
          <w:color w:val="231F20"/>
          <w:sz w:val="16"/>
        </w:rPr>
        <w:t>breast,</w:t>
      </w:r>
      <w:r>
        <w:rPr>
          <w:color w:val="231F20"/>
          <w:spacing w:val="-8"/>
          <w:sz w:val="16"/>
        </w:rPr>
        <w:t xml:space="preserve"> </w:t>
      </w:r>
      <w:r>
        <w:rPr>
          <w:color w:val="231F20"/>
          <w:sz w:val="16"/>
        </w:rPr>
        <w:t>lung,</w:t>
      </w:r>
      <w:r>
        <w:rPr>
          <w:color w:val="231F20"/>
          <w:spacing w:val="-8"/>
          <w:sz w:val="16"/>
        </w:rPr>
        <w:t xml:space="preserve"> </w:t>
      </w:r>
      <w:r>
        <w:rPr>
          <w:color w:val="231F20"/>
          <w:sz w:val="16"/>
        </w:rPr>
        <w:t>and</w:t>
      </w:r>
      <w:r>
        <w:rPr>
          <w:color w:val="231F20"/>
          <w:spacing w:val="-8"/>
          <w:sz w:val="16"/>
        </w:rPr>
        <w:t xml:space="preserve"> </w:t>
      </w:r>
      <w:r>
        <w:rPr>
          <w:color w:val="231F20"/>
          <w:sz w:val="16"/>
        </w:rPr>
        <w:t>head-neck</w:t>
      </w:r>
      <w:r>
        <w:rPr>
          <w:color w:val="231F20"/>
          <w:spacing w:val="-8"/>
          <w:sz w:val="16"/>
        </w:rPr>
        <w:t xml:space="preserve"> </w:t>
      </w:r>
      <w:r>
        <w:rPr>
          <w:color w:val="231F20"/>
          <w:sz w:val="16"/>
        </w:rPr>
        <w:t>carcinomas;</w:t>
      </w:r>
      <w:r>
        <w:rPr>
          <w:color w:val="231F20"/>
          <w:spacing w:val="-8"/>
          <w:sz w:val="16"/>
        </w:rPr>
        <w:t xml:space="preserve"> </w:t>
      </w:r>
      <w:r>
        <w:rPr>
          <w:color w:val="231F20"/>
          <w:sz w:val="16"/>
        </w:rPr>
        <w:t>glioma;</w:t>
      </w:r>
      <w:r>
        <w:rPr>
          <w:color w:val="231F20"/>
          <w:spacing w:val="-8"/>
          <w:sz w:val="16"/>
        </w:rPr>
        <w:t xml:space="preserve"> </w:t>
      </w:r>
      <w:r>
        <w:rPr>
          <w:color w:val="231F20"/>
          <w:sz w:val="16"/>
        </w:rPr>
        <w:t>and</w:t>
      </w:r>
      <w:r>
        <w:rPr>
          <w:color w:val="231F20"/>
          <w:spacing w:val="-8"/>
          <w:sz w:val="16"/>
        </w:rPr>
        <w:t xml:space="preserve"> </w:t>
      </w:r>
      <w:r>
        <w:rPr>
          <w:color w:val="231F20"/>
          <w:sz w:val="16"/>
        </w:rPr>
        <w:t>leukemia</w:t>
      </w:r>
      <w:r>
        <w:rPr>
          <w:color w:val="231F20"/>
          <w:spacing w:val="-8"/>
          <w:sz w:val="16"/>
        </w:rPr>
        <w:t xml:space="preserve"> </w:t>
      </w:r>
      <w:r>
        <w:rPr>
          <w:color w:val="231F20"/>
          <w:sz w:val="16"/>
        </w:rPr>
        <w:t>were</w:t>
      </w:r>
      <w:r>
        <w:rPr>
          <w:color w:val="231F20"/>
          <w:spacing w:val="-8"/>
          <w:sz w:val="16"/>
        </w:rPr>
        <w:t xml:space="preserve"> </w:t>
      </w:r>
      <w:r>
        <w:rPr>
          <w:color w:val="231F20"/>
          <w:sz w:val="16"/>
        </w:rPr>
        <w:t>also</w:t>
      </w:r>
      <w:r>
        <w:rPr>
          <w:color w:val="231F20"/>
          <w:spacing w:val="40"/>
          <w:sz w:val="16"/>
        </w:rPr>
        <w:t xml:space="preserve"> </w:t>
      </w:r>
      <w:r>
        <w:rPr>
          <w:color w:val="231F20"/>
          <w:sz w:val="16"/>
        </w:rPr>
        <w:t>obtained at the time of clinically indicated surgical procedures, and DNA was</w:t>
      </w:r>
      <w:r>
        <w:rPr>
          <w:color w:val="231F20"/>
          <w:spacing w:val="40"/>
          <w:sz w:val="16"/>
        </w:rPr>
        <w:t xml:space="preserve"> </w:t>
      </w:r>
      <w:r>
        <w:rPr>
          <w:color w:val="231F20"/>
          <w:sz w:val="16"/>
        </w:rPr>
        <w:t>extracted according to standard procedures. Finally, 15 primary mouse skin</w:t>
      </w:r>
      <w:r>
        <w:rPr>
          <w:color w:val="231F20"/>
          <w:spacing w:val="40"/>
          <w:sz w:val="16"/>
        </w:rPr>
        <w:t xml:space="preserve"> </w:t>
      </w:r>
      <w:r>
        <w:rPr>
          <w:color w:val="231F20"/>
          <w:sz w:val="16"/>
        </w:rPr>
        <w:t>tumors</w:t>
      </w:r>
      <w:r>
        <w:rPr>
          <w:color w:val="231F20"/>
          <w:spacing w:val="-8"/>
          <w:sz w:val="16"/>
        </w:rPr>
        <w:t xml:space="preserve"> </w:t>
      </w:r>
      <w:r>
        <w:rPr>
          <w:color w:val="231F20"/>
          <w:sz w:val="16"/>
        </w:rPr>
        <w:t>(5</w:t>
      </w:r>
      <w:r>
        <w:rPr>
          <w:color w:val="231F20"/>
          <w:spacing w:val="-8"/>
          <w:sz w:val="16"/>
        </w:rPr>
        <w:t xml:space="preserve"> </w:t>
      </w:r>
      <w:r>
        <w:rPr>
          <w:color w:val="231F20"/>
          <w:sz w:val="16"/>
        </w:rPr>
        <w:t>papillomas,</w:t>
      </w:r>
      <w:r>
        <w:rPr>
          <w:color w:val="231F20"/>
          <w:spacing w:val="-8"/>
          <w:sz w:val="16"/>
        </w:rPr>
        <w:t xml:space="preserve"> </w:t>
      </w:r>
      <w:r>
        <w:rPr>
          <w:color w:val="231F20"/>
          <w:sz w:val="16"/>
        </w:rPr>
        <w:t>5</w:t>
      </w:r>
      <w:r>
        <w:rPr>
          <w:color w:val="231F20"/>
          <w:spacing w:val="-8"/>
          <w:sz w:val="16"/>
        </w:rPr>
        <w:t xml:space="preserve"> </w:t>
      </w:r>
      <w:r>
        <w:rPr>
          <w:color w:val="231F20"/>
          <w:sz w:val="16"/>
        </w:rPr>
        <w:t>squamous</w:t>
      </w:r>
      <w:r>
        <w:rPr>
          <w:color w:val="231F20"/>
          <w:spacing w:val="-8"/>
          <w:sz w:val="16"/>
        </w:rPr>
        <w:t xml:space="preserve"> </w:t>
      </w:r>
      <w:r>
        <w:rPr>
          <w:color w:val="231F20"/>
          <w:sz w:val="16"/>
        </w:rPr>
        <w:t>carcinomas,</w:t>
      </w:r>
      <w:r>
        <w:rPr>
          <w:color w:val="231F20"/>
          <w:spacing w:val="-8"/>
          <w:sz w:val="16"/>
        </w:rPr>
        <w:t xml:space="preserve"> </w:t>
      </w:r>
      <w:r>
        <w:rPr>
          <w:color w:val="231F20"/>
          <w:sz w:val="16"/>
        </w:rPr>
        <w:t>and</w:t>
      </w:r>
      <w:r>
        <w:rPr>
          <w:color w:val="231F20"/>
          <w:spacing w:val="-8"/>
          <w:sz w:val="16"/>
        </w:rPr>
        <w:t xml:space="preserve"> </w:t>
      </w:r>
      <w:r>
        <w:rPr>
          <w:color w:val="231F20"/>
          <w:sz w:val="16"/>
        </w:rPr>
        <w:t>5</w:t>
      </w:r>
      <w:r>
        <w:rPr>
          <w:color w:val="231F20"/>
          <w:spacing w:val="-8"/>
          <w:sz w:val="16"/>
        </w:rPr>
        <w:t xml:space="preserve"> </w:t>
      </w:r>
      <w:r>
        <w:rPr>
          <w:color w:val="231F20"/>
          <w:sz w:val="16"/>
        </w:rPr>
        <w:t>spindle</w:t>
      </w:r>
      <w:r>
        <w:rPr>
          <w:color w:val="231F20"/>
          <w:spacing w:val="-8"/>
          <w:sz w:val="16"/>
        </w:rPr>
        <w:t xml:space="preserve"> </w:t>
      </w:r>
      <w:r>
        <w:rPr>
          <w:color w:val="231F20"/>
          <w:sz w:val="16"/>
        </w:rPr>
        <w:t>carcinomas)</w:t>
      </w:r>
      <w:r>
        <w:rPr>
          <w:color w:val="231F20"/>
          <w:spacing w:val="-8"/>
          <w:sz w:val="16"/>
        </w:rPr>
        <w:t xml:space="preserve"> </w:t>
      </w:r>
      <w:r>
        <w:rPr>
          <w:color w:val="231F20"/>
          <w:sz w:val="16"/>
        </w:rPr>
        <w:t>from</w:t>
      </w:r>
      <w:r>
        <w:rPr>
          <w:color w:val="231F20"/>
          <w:spacing w:val="40"/>
          <w:sz w:val="16"/>
        </w:rPr>
        <w:t xml:space="preserve"> </w:t>
      </w:r>
      <w:r>
        <w:rPr>
          <w:color w:val="231F20"/>
          <w:sz w:val="16"/>
        </w:rPr>
        <w:t>the same genetic background were obtained.</w:t>
      </w:r>
    </w:p>
    <w:p w14:paraId="2A77389F" w14:textId="77777777" w:rsidR="00B322A0" w:rsidRDefault="00000000">
      <w:pPr>
        <w:spacing w:before="2" w:line="254" w:lineRule="auto"/>
        <w:ind w:left="103" w:right="114" w:firstLine="180"/>
        <w:jc w:val="both"/>
        <w:rPr>
          <w:sz w:val="16"/>
        </w:rPr>
      </w:pPr>
      <w:r>
        <w:rPr>
          <w:b/>
          <w:color w:val="231F20"/>
          <w:sz w:val="16"/>
        </w:rPr>
        <w:t xml:space="preserve">Genome Content of 5-Methylcytosine. </w:t>
      </w:r>
      <w:r>
        <w:rPr>
          <w:color w:val="231F20"/>
          <w:sz w:val="16"/>
        </w:rPr>
        <w:t>Quantification of the degree of</w:t>
      </w:r>
      <w:r>
        <w:rPr>
          <w:color w:val="231F20"/>
          <w:spacing w:val="40"/>
          <w:sz w:val="16"/>
        </w:rPr>
        <w:t xml:space="preserve"> </w:t>
      </w:r>
      <w:r>
        <w:rPr>
          <w:color w:val="231F20"/>
          <w:sz w:val="16"/>
        </w:rPr>
        <w:t>methylation was carried out by high-performance capillary electrophoresis as</w:t>
      </w:r>
      <w:r>
        <w:rPr>
          <w:color w:val="231F20"/>
          <w:spacing w:val="40"/>
          <w:sz w:val="16"/>
        </w:rPr>
        <w:t xml:space="preserve"> </w:t>
      </w:r>
      <w:r>
        <w:rPr>
          <w:color w:val="231F20"/>
          <w:sz w:val="16"/>
        </w:rPr>
        <w:t>described</w:t>
      </w:r>
      <w:r>
        <w:rPr>
          <w:color w:val="231F20"/>
          <w:spacing w:val="-7"/>
          <w:sz w:val="16"/>
        </w:rPr>
        <w:t xml:space="preserve"> </w:t>
      </w:r>
      <w:r>
        <w:rPr>
          <w:color w:val="231F20"/>
          <w:sz w:val="16"/>
        </w:rPr>
        <w:t>previously</w:t>
      </w:r>
      <w:r>
        <w:rPr>
          <w:color w:val="231F20"/>
          <w:spacing w:val="-7"/>
          <w:sz w:val="16"/>
        </w:rPr>
        <w:t xml:space="preserve"> </w:t>
      </w:r>
      <w:r>
        <w:rPr>
          <w:color w:val="231F20"/>
          <w:sz w:val="16"/>
        </w:rPr>
        <w:t>(15,</w:t>
      </w:r>
      <w:r>
        <w:rPr>
          <w:color w:val="231F20"/>
          <w:spacing w:val="-7"/>
          <w:sz w:val="16"/>
        </w:rPr>
        <w:t xml:space="preserve"> </w:t>
      </w:r>
      <w:r>
        <w:rPr>
          <w:color w:val="231F20"/>
          <w:sz w:val="16"/>
        </w:rPr>
        <w:t>16).</w:t>
      </w:r>
      <w:r>
        <w:rPr>
          <w:color w:val="231F20"/>
          <w:spacing w:val="-7"/>
          <w:sz w:val="16"/>
        </w:rPr>
        <w:t xml:space="preserve"> </w:t>
      </w:r>
      <w:r>
        <w:rPr>
          <w:color w:val="231F20"/>
          <w:sz w:val="16"/>
        </w:rPr>
        <w:t>In</w:t>
      </w:r>
      <w:r>
        <w:rPr>
          <w:color w:val="231F20"/>
          <w:spacing w:val="-7"/>
          <w:sz w:val="16"/>
        </w:rPr>
        <w:t xml:space="preserve"> </w:t>
      </w:r>
      <w:r>
        <w:rPr>
          <w:color w:val="231F20"/>
          <w:sz w:val="16"/>
        </w:rPr>
        <w:t>brief,</w:t>
      </w:r>
      <w:r>
        <w:rPr>
          <w:color w:val="231F20"/>
          <w:spacing w:val="-7"/>
          <w:sz w:val="16"/>
        </w:rPr>
        <w:t xml:space="preserve"> </w:t>
      </w:r>
      <w:r>
        <w:rPr>
          <w:color w:val="231F20"/>
          <w:sz w:val="16"/>
        </w:rPr>
        <w:t>DNA</w:t>
      </w:r>
      <w:r>
        <w:rPr>
          <w:color w:val="231F20"/>
          <w:spacing w:val="-7"/>
          <w:sz w:val="16"/>
        </w:rPr>
        <w:t xml:space="preserve"> </w:t>
      </w:r>
      <w:r>
        <w:rPr>
          <w:color w:val="231F20"/>
          <w:sz w:val="16"/>
        </w:rPr>
        <w:t>samples</w:t>
      </w:r>
      <w:r>
        <w:rPr>
          <w:color w:val="231F20"/>
          <w:spacing w:val="-7"/>
          <w:sz w:val="16"/>
        </w:rPr>
        <w:t xml:space="preserve"> </w:t>
      </w:r>
      <w:r>
        <w:rPr>
          <w:color w:val="231F20"/>
          <w:sz w:val="16"/>
        </w:rPr>
        <w:t>(5</w:t>
      </w:r>
      <w:r>
        <w:rPr>
          <w:color w:val="231F20"/>
          <w:spacing w:val="-7"/>
          <w:sz w:val="16"/>
        </w:rPr>
        <w:t xml:space="preserve"> </w:t>
      </w:r>
      <w:r>
        <w:rPr>
          <w:rFonts w:ascii="Verdana" w:hAnsi="Verdana"/>
          <w:color w:val="231F20"/>
          <w:sz w:val="16"/>
        </w:rPr>
        <w:t>µ</w:t>
      </w:r>
      <w:r>
        <w:rPr>
          <w:color w:val="231F20"/>
          <w:sz w:val="16"/>
        </w:rPr>
        <w:t>l,</w:t>
      </w:r>
      <w:r>
        <w:rPr>
          <w:color w:val="231F20"/>
          <w:spacing w:val="-7"/>
          <w:sz w:val="16"/>
        </w:rPr>
        <w:t xml:space="preserve"> </w:t>
      </w:r>
      <w:r>
        <w:rPr>
          <w:color w:val="231F20"/>
          <w:sz w:val="16"/>
        </w:rPr>
        <w:t>0.2–1</w:t>
      </w:r>
      <w:r>
        <w:rPr>
          <w:color w:val="231F20"/>
          <w:spacing w:val="-7"/>
          <w:sz w:val="16"/>
        </w:rPr>
        <w:t xml:space="preserve"> </w:t>
      </w:r>
      <w:r>
        <w:rPr>
          <w:rFonts w:ascii="Verdana" w:hAnsi="Verdana"/>
          <w:color w:val="231F20"/>
          <w:sz w:val="16"/>
        </w:rPr>
        <w:t>µ</w:t>
      </w:r>
      <w:r>
        <w:rPr>
          <w:color w:val="231F20"/>
          <w:sz w:val="16"/>
        </w:rPr>
        <w:t>g/</w:t>
      </w:r>
      <w:r>
        <w:rPr>
          <w:rFonts w:ascii="Verdana" w:hAnsi="Verdana"/>
          <w:color w:val="231F20"/>
          <w:sz w:val="16"/>
        </w:rPr>
        <w:t>µ</w:t>
      </w:r>
      <w:r>
        <w:rPr>
          <w:color w:val="231F20"/>
          <w:sz w:val="16"/>
        </w:rPr>
        <w:t>L)</w:t>
      </w:r>
      <w:r>
        <w:rPr>
          <w:color w:val="231F20"/>
          <w:spacing w:val="-7"/>
          <w:sz w:val="16"/>
        </w:rPr>
        <w:t xml:space="preserve"> </w:t>
      </w:r>
      <w:r>
        <w:rPr>
          <w:color w:val="231F20"/>
          <w:sz w:val="16"/>
        </w:rPr>
        <w:t>were</w:t>
      </w:r>
      <w:r>
        <w:rPr>
          <w:color w:val="231F20"/>
          <w:spacing w:val="40"/>
          <w:sz w:val="16"/>
        </w:rPr>
        <w:t xml:space="preserve"> </w:t>
      </w:r>
      <w:r>
        <w:rPr>
          <w:color w:val="231F20"/>
          <w:sz w:val="16"/>
        </w:rPr>
        <w:t>enzymatically</w:t>
      </w:r>
      <w:r>
        <w:rPr>
          <w:color w:val="231F20"/>
          <w:spacing w:val="27"/>
          <w:sz w:val="16"/>
        </w:rPr>
        <w:t xml:space="preserve"> </w:t>
      </w:r>
      <w:r>
        <w:rPr>
          <w:color w:val="231F20"/>
          <w:sz w:val="16"/>
        </w:rPr>
        <w:t>hydrolyzed</w:t>
      </w:r>
      <w:r>
        <w:rPr>
          <w:color w:val="231F20"/>
          <w:spacing w:val="29"/>
          <w:sz w:val="16"/>
        </w:rPr>
        <w:t xml:space="preserve"> </w:t>
      </w:r>
      <w:r>
        <w:rPr>
          <w:color w:val="231F20"/>
          <w:sz w:val="16"/>
        </w:rPr>
        <w:t>with</w:t>
      </w:r>
      <w:r>
        <w:rPr>
          <w:color w:val="231F20"/>
          <w:spacing w:val="29"/>
          <w:sz w:val="16"/>
        </w:rPr>
        <w:t xml:space="preserve"> </w:t>
      </w:r>
      <w:r>
        <w:rPr>
          <w:color w:val="231F20"/>
          <w:sz w:val="16"/>
        </w:rPr>
        <w:t>nuclease</w:t>
      </w:r>
      <w:r>
        <w:rPr>
          <w:color w:val="231F20"/>
          <w:spacing w:val="30"/>
          <w:sz w:val="16"/>
        </w:rPr>
        <w:t xml:space="preserve"> </w:t>
      </w:r>
      <w:r>
        <w:rPr>
          <w:color w:val="231F20"/>
          <w:sz w:val="16"/>
        </w:rPr>
        <w:t>P1</w:t>
      </w:r>
      <w:r>
        <w:rPr>
          <w:color w:val="231F20"/>
          <w:spacing w:val="29"/>
          <w:sz w:val="16"/>
        </w:rPr>
        <w:t xml:space="preserve"> </w:t>
      </w:r>
      <w:r>
        <w:rPr>
          <w:color w:val="231F20"/>
          <w:sz w:val="16"/>
        </w:rPr>
        <w:t>(Sigma-Aldrich</w:t>
      </w:r>
      <w:r>
        <w:rPr>
          <w:color w:val="231F20"/>
          <w:spacing w:val="29"/>
          <w:sz w:val="16"/>
        </w:rPr>
        <w:t xml:space="preserve"> </w:t>
      </w:r>
      <w:r>
        <w:rPr>
          <w:color w:val="231F20"/>
          <w:sz w:val="16"/>
        </w:rPr>
        <w:t>Qu´ımica</w:t>
      </w:r>
      <w:r>
        <w:rPr>
          <w:color w:val="231F20"/>
          <w:spacing w:val="30"/>
          <w:sz w:val="16"/>
        </w:rPr>
        <w:t xml:space="preserve"> </w:t>
      </w:r>
      <w:r>
        <w:rPr>
          <w:color w:val="231F20"/>
          <w:spacing w:val="-2"/>
          <w:sz w:val="16"/>
        </w:rPr>
        <w:t>S.A.,</w:t>
      </w:r>
    </w:p>
    <w:p w14:paraId="3AC4006E" w14:textId="77777777" w:rsidR="00B322A0" w:rsidRDefault="00B322A0">
      <w:pPr>
        <w:spacing w:line="254" w:lineRule="auto"/>
        <w:jc w:val="both"/>
        <w:rPr>
          <w:sz w:val="16"/>
        </w:rPr>
        <w:sectPr w:rsidR="00B322A0" w:rsidSect="00BA4BCE">
          <w:type w:val="continuous"/>
          <w:pgSz w:w="11700" w:h="15660"/>
          <w:pgMar w:top="420" w:right="560" w:bottom="920" w:left="600" w:header="0" w:footer="723" w:gutter="0"/>
          <w:cols w:num="2" w:space="720" w:equalWidth="0">
            <w:col w:w="5185" w:space="95"/>
            <w:col w:w="5260"/>
          </w:cols>
        </w:sectPr>
      </w:pPr>
    </w:p>
    <w:p w14:paraId="0C515F8B" w14:textId="77777777" w:rsidR="00B322A0" w:rsidRDefault="00B322A0">
      <w:pPr>
        <w:pStyle w:val="Textoindependiente"/>
        <w:spacing w:before="7"/>
        <w:ind w:left="0"/>
        <w:rPr>
          <w:sz w:val="9"/>
        </w:rPr>
      </w:pPr>
    </w:p>
    <w:p w14:paraId="28CB1A55" w14:textId="77777777" w:rsidR="00B322A0" w:rsidRDefault="00B322A0">
      <w:pPr>
        <w:rPr>
          <w:sz w:val="9"/>
        </w:rPr>
        <w:sectPr w:rsidR="00B322A0" w:rsidSect="00BA4BCE">
          <w:headerReference w:type="default" r:id="rId11"/>
          <w:footerReference w:type="default" r:id="rId12"/>
          <w:pgSz w:w="11700" w:h="15660"/>
          <w:pgMar w:top="620" w:right="560" w:bottom="900" w:left="600" w:header="428" w:footer="719" w:gutter="0"/>
          <w:cols w:space="720"/>
        </w:sectPr>
      </w:pPr>
    </w:p>
    <w:p w14:paraId="12BE099F" w14:textId="77777777" w:rsidR="00B322A0" w:rsidRDefault="00000000">
      <w:pPr>
        <w:spacing w:before="94" w:line="259" w:lineRule="auto"/>
        <w:ind w:left="103" w:right="38"/>
        <w:jc w:val="both"/>
        <w:rPr>
          <w:sz w:val="16"/>
        </w:rPr>
      </w:pPr>
      <w:r>
        <w:rPr>
          <w:noProof/>
        </w:rPr>
        <mc:AlternateContent>
          <mc:Choice Requires="wps">
            <w:drawing>
              <wp:anchor distT="0" distB="0" distL="0" distR="0" simplePos="0" relativeHeight="15730176" behindDoc="0" locked="0" layoutInCell="1" allowOverlap="1" wp14:anchorId="3490B0E9" wp14:editId="2DDFBB27">
                <wp:simplePos x="0" y="0"/>
                <wp:positionH relativeFrom="page">
                  <wp:posOffset>7108425</wp:posOffset>
                </wp:positionH>
                <wp:positionV relativeFrom="page">
                  <wp:posOffset>1928114</wp:posOffset>
                </wp:positionV>
                <wp:extent cx="111125" cy="619950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285A490B"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13">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3490B0E9" id="Textbox 6" o:spid="_x0000_s1027" type="#_x0000_t202" style="position:absolute;left:0;text-align:left;margin-left:559.7pt;margin-top:151.8pt;width:8.75pt;height:488.15pt;z-index:1573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" filled="f" stroked="f">
                <v:textbox style="layout-flow:vertical" inset="0,0,0,0">
                  <w:txbxContent>
                    <w:p w14:paraId="285A490B"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14">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r>
        <w:rPr>
          <w:color w:val="231F20"/>
          <w:sz w:val="16"/>
        </w:rPr>
        <w:t>Madrid,</w:t>
      </w:r>
      <w:r>
        <w:rPr>
          <w:color w:val="231F20"/>
          <w:spacing w:val="-10"/>
          <w:sz w:val="16"/>
        </w:rPr>
        <w:t xml:space="preserve"> </w:t>
      </w:r>
      <w:r>
        <w:rPr>
          <w:color w:val="231F20"/>
          <w:sz w:val="16"/>
        </w:rPr>
        <w:t>Spain)</w:t>
      </w:r>
      <w:r>
        <w:rPr>
          <w:color w:val="231F20"/>
          <w:spacing w:val="-10"/>
          <w:sz w:val="16"/>
        </w:rPr>
        <w:t xml:space="preserve"> </w:t>
      </w:r>
      <w:r>
        <w:rPr>
          <w:color w:val="231F20"/>
          <w:sz w:val="16"/>
        </w:rPr>
        <w:t>and</w:t>
      </w:r>
      <w:r>
        <w:rPr>
          <w:color w:val="231F20"/>
          <w:spacing w:val="-10"/>
          <w:sz w:val="16"/>
        </w:rPr>
        <w:t xml:space="preserve"> </w:t>
      </w:r>
      <w:r>
        <w:rPr>
          <w:color w:val="231F20"/>
          <w:sz w:val="16"/>
        </w:rPr>
        <w:t>alkaline</w:t>
      </w:r>
      <w:r>
        <w:rPr>
          <w:color w:val="231F20"/>
          <w:spacing w:val="-10"/>
          <w:sz w:val="16"/>
        </w:rPr>
        <w:t xml:space="preserve"> </w:t>
      </w:r>
      <w:r>
        <w:rPr>
          <w:color w:val="231F20"/>
          <w:sz w:val="16"/>
        </w:rPr>
        <w:t>phosphatase</w:t>
      </w:r>
      <w:r>
        <w:rPr>
          <w:color w:val="231F20"/>
          <w:spacing w:val="-10"/>
          <w:sz w:val="16"/>
        </w:rPr>
        <w:t xml:space="preserve"> </w:t>
      </w:r>
      <w:r>
        <w:rPr>
          <w:color w:val="231F20"/>
          <w:sz w:val="16"/>
        </w:rPr>
        <w:t>(Sigma-Aldrich</w:t>
      </w:r>
      <w:r>
        <w:rPr>
          <w:color w:val="231F20"/>
          <w:spacing w:val="-10"/>
          <w:sz w:val="16"/>
        </w:rPr>
        <w:t xml:space="preserve"> </w:t>
      </w:r>
      <w:r>
        <w:rPr>
          <w:color w:val="231F20"/>
          <w:sz w:val="16"/>
        </w:rPr>
        <w:t>Qu´ımica</w:t>
      </w:r>
      <w:r>
        <w:rPr>
          <w:color w:val="231F20"/>
          <w:spacing w:val="-10"/>
          <w:sz w:val="16"/>
        </w:rPr>
        <w:t xml:space="preserve"> </w:t>
      </w:r>
      <w:r>
        <w:rPr>
          <w:color w:val="231F20"/>
          <w:sz w:val="16"/>
        </w:rPr>
        <w:t>S.A.).</w:t>
      </w:r>
      <w:r>
        <w:rPr>
          <w:color w:val="231F20"/>
          <w:spacing w:val="-10"/>
          <w:sz w:val="16"/>
        </w:rPr>
        <w:t xml:space="preserve"> </w:t>
      </w:r>
      <w:r>
        <w:rPr>
          <w:color w:val="231F20"/>
          <w:sz w:val="16"/>
        </w:rPr>
        <w:t>Sam-</w:t>
      </w:r>
      <w:r>
        <w:rPr>
          <w:color w:val="231F20"/>
          <w:spacing w:val="40"/>
          <w:sz w:val="16"/>
        </w:rPr>
        <w:t xml:space="preserve"> </w:t>
      </w:r>
      <w:r>
        <w:rPr>
          <w:color w:val="231F20"/>
          <w:sz w:val="16"/>
        </w:rPr>
        <w:t>ples were directly injected in a high-performance capillary electrophoresis</w:t>
      </w:r>
      <w:r>
        <w:rPr>
          <w:color w:val="231F20"/>
          <w:spacing w:val="40"/>
          <w:sz w:val="16"/>
        </w:rPr>
        <w:t xml:space="preserve"> </w:t>
      </w:r>
      <w:r>
        <w:rPr>
          <w:color w:val="231F20"/>
          <w:sz w:val="16"/>
        </w:rPr>
        <w:t>system (P/ACE MDQ; Beckman-Coulter S.A., Madrid, Spain) connected to a</w:t>
      </w:r>
      <w:r>
        <w:rPr>
          <w:color w:val="231F20"/>
          <w:spacing w:val="40"/>
          <w:sz w:val="16"/>
        </w:rPr>
        <w:t xml:space="preserve"> </w:t>
      </w:r>
      <w:r>
        <w:rPr>
          <w:color w:val="231F20"/>
          <w:sz w:val="16"/>
        </w:rPr>
        <w:t>data-processing</w:t>
      </w:r>
      <w:r>
        <w:rPr>
          <w:color w:val="231F20"/>
          <w:spacing w:val="-4"/>
          <w:sz w:val="16"/>
        </w:rPr>
        <w:t xml:space="preserve"> </w:t>
      </w:r>
      <w:r>
        <w:rPr>
          <w:color w:val="231F20"/>
          <w:sz w:val="16"/>
        </w:rPr>
        <w:t>station</w:t>
      </w:r>
      <w:r>
        <w:rPr>
          <w:color w:val="231F20"/>
          <w:spacing w:val="-4"/>
          <w:sz w:val="16"/>
        </w:rPr>
        <w:t xml:space="preserve"> </w:t>
      </w:r>
      <w:r>
        <w:rPr>
          <w:color w:val="231F20"/>
          <w:sz w:val="16"/>
        </w:rPr>
        <w:t>(32</w:t>
      </w:r>
      <w:r>
        <w:rPr>
          <w:color w:val="231F20"/>
          <w:spacing w:val="-4"/>
          <w:sz w:val="16"/>
        </w:rPr>
        <w:t xml:space="preserve"> </w:t>
      </w:r>
      <w:r>
        <w:rPr>
          <w:color w:val="231F20"/>
          <w:sz w:val="16"/>
        </w:rPr>
        <w:t>Karat</w:t>
      </w:r>
      <w:r>
        <w:rPr>
          <w:color w:val="231F20"/>
          <w:spacing w:val="-4"/>
          <w:sz w:val="16"/>
        </w:rPr>
        <w:t xml:space="preserve"> </w:t>
      </w:r>
      <w:r>
        <w:rPr>
          <w:color w:val="231F20"/>
          <w:sz w:val="16"/>
        </w:rPr>
        <w:t>Software)</w:t>
      </w:r>
      <w:r>
        <w:rPr>
          <w:color w:val="231F20"/>
          <w:spacing w:val="-4"/>
          <w:sz w:val="16"/>
        </w:rPr>
        <w:t xml:space="preserve"> </w:t>
      </w:r>
      <w:r>
        <w:rPr>
          <w:color w:val="231F20"/>
          <w:sz w:val="16"/>
        </w:rPr>
        <w:t>and</w:t>
      </w:r>
      <w:r>
        <w:rPr>
          <w:color w:val="231F20"/>
          <w:spacing w:val="-4"/>
          <w:sz w:val="16"/>
        </w:rPr>
        <w:t xml:space="preserve"> </w:t>
      </w:r>
      <w:r>
        <w:rPr>
          <w:color w:val="231F20"/>
          <w:sz w:val="16"/>
        </w:rPr>
        <w:t>using</w:t>
      </w:r>
      <w:r>
        <w:rPr>
          <w:color w:val="231F20"/>
          <w:spacing w:val="-4"/>
          <w:sz w:val="16"/>
        </w:rPr>
        <w:t xml:space="preserve"> </w:t>
      </w:r>
      <w:r>
        <w:rPr>
          <w:color w:val="231F20"/>
          <w:sz w:val="16"/>
        </w:rPr>
        <w:t>an</w:t>
      </w:r>
      <w:r>
        <w:rPr>
          <w:color w:val="231F20"/>
          <w:spacing w:val="-4"/>
          <w:sz w:val="16"/>
        </w:rPr>
        <w:t xml:space="preserve"> </w:t>
      </w:r>
      <w:r>
        <w:rPr>
          <w:color w:val="231F20"/>
          <w:sz w:val="16"/>
        </w:rPr>
        <w:t>uncoated</w:t>
      </w:r>
      <w:r>
        <w:rPr>
          <w:color w:val="231F20"/>
          <w:spacing w:val="-4"/>
          <w:sz w:val="16"/>
        </w:rPr>
        <w:t xml:space="preserve"> </w:t>
      </w:r>
      <w:r>
        <w:rPr>
          <w:color w:val="231F20"/>
          <w:sz w:val="16"/>
        </w:rPr>
        <w:t>fused-silica</w:t>
      </w:r>
      <w:r>
        <w:rPr>
          <w:color w:val="231F20"/>
          <w:spacing w:val="40"/>
          <w:sz w:val="16"/>
        </w:rPr>
        <w:t xml:space="preserve"> </w:t>
      </w:r>
      <w:r>
        <w:rPr>
          <w:color w:val="231F20"/>
          <w:sz w:val="16"/>
        </w:rPr>
        <w:t xml:space="preserve">capillary (Beckman-Coulter S.A.; 60.2 cm </w:t>
      </w:r>
      <w:r>
        <w:rPr>
          <w:rFonts w:ascii="Verdana" w:hAnsi="Verdana"/>
          <w:color w:val="231F20"/>
          <w:sz w:val="16"/>
        </w:rPr>
        <w:t>×</w:t>
      </w:r>
      <w:r>
        <w:rPr>
          <w:rFonts w:ascii="Verdana" w:hAnsi="Verdana"/>
          <w:color w:val="231F20"/>
          <w:spacing w:val="-13"/>
          <w:sz w:val="16"/>
        </w:rPr>
        <w:t xml:space="preserve"> </w:t>
      </w:r>
      <w:r>
        <w:rPr>
          <w:color w:val="231F20"/>
          <w:sz w:val="16"/>
        </w:rPr>
        <w:t xml:space="preserve">75 </w:t>
      </w:r>
      <w:r>
        <w:rPr>
          <w:rFonts w:ascii="Verdana" w:hAnsi="Verdana"/>
          <w:color w:val="231F20"/>
          <w:sz w:val="16"/>
        </w:rPr>
        <w:t>µ</w:t>
      </w:r>
      <w:r>
        <w:rPr>
          <w:color w:val="231F20"/>
          <w:sz w:val="16"/>
        </w:rPr>
        <w:t>m, effective length 50 cm).</w:t>
      </w:r>
      <w:r>
        <w:rPr>
          <w:color w:val="231F20"/>
          <w:spacing w:val="40"/>
          <w:sz w:val="16"/>
        </w:rPr>
        <w:t xml:space="preserve"> </w:t>
      </w:r>
      <w:r>
        <w:rPr>
          <w:color w:val="231F20"/>
          <w:sz w:val="16"/>
        </w:rPr>
        <w:t>The running buffer was 14 m</w:t>
      </w:r>
      <w:r>
        <w:rPr>
          <w:color w:val="231F20"/>
          <w:sz w:val="12"/>
        </w:rPr>
        <w:t xml:space="preserve">M </w:t>
      </w:r>
      <w:r>
        <w:rPr>
          <w:color w:val="231F20"/>
          <w:sz w:val="16"/>
        </w:rPr>
        <w:t>NaHCO</w:t>
      </w:r>
      <w:r>
        <w:rPr>
          <w:color w:val="231F20"/>
          <w:sz w:val="16"/>
          <w:vertAlign w:val="subscript"/>
        </w:rPr>
        <w:t>3</w:t>
      </w:r>
      <w:r>
        <w:rPr>
          <w:color w:val="231F20"/>
          <w:sz w:val="16"/>
        </w:rPr>
        <w:t xml:space="preserve"> (pH 9.6) containing 20 m</w:t>
      </w:r>
      <w:r>
        <w:rPr>
          <w:color w:val="231F20"/>
          <w:sz w:val="12"/>
        </w:rPr>
        <w:t xml:space="preserve">M </w:t>
      </w:r>
      <w:r>
        <w:rPr>
          <w:color w:val="231F20"/>
          <w:sz w:val="16"/>
        </w:rPr>
        <w:t>SDS.</w:t>
      </w:r>
      <w:r>
        <w:rPr>
          <w:color w:val="231F20"/>
          <w:spacing w:val="40"/>
          <w:sz w:val="16"/>
        </w:rPr>
        <w:t xml:space="preserve"> </w:t>
      </w:r>
      <w:r>
        <w:rPr>
          <w:color w:val="231F20"/>
          <w:sz w:val="16"/>
        </w:rPr>
        <w:t>Running conditions were 25°C and operating voltages of 17 kV. All of the</w:t>
      </w:r>
      <w:r>
        <w:rPr>
          <w:color w:val="231F20"/>
          <w:spacing w:val="40"/>
          <w:sz w:val="16"/>
        </w:rPr>
        <w:t xml:space="preserve"> </w:t>
      </w:r>
      <w:r>
        <w:rPr>
          <w:color w:val="231F20"/>
          <w:sz w:val="16"/>
        </w:rPr>
        <w:t>samples were analyzed in duplicate, and three analytical measurements were</w:t>
      </w:r>
      <w:r>
        <w:rPr>
          <w:color w:val="231F20"/>
          <w:spacing w:val="40"/>
          <w:sz w:val="16"/>
        </w:rPr>
        <w:t xml:space="preserve"> </w:t>
      </w:r>
      <w:r>
        <w:rPr>
          <w:color w:val="231F20"/>
          <w:sz w:val="16"/>
        </w:rPr>
        <w:t>made per replicate. Quantification of the relative methylation of each DNA</w:t>
      </w:r>
      <w:r>
        <w:rPr>
          <w:color w:val="231F20"/>
          <w:spacing w:val="40"/>
          <w:sz w:val="16"/>
        </w:rPr>
        <w:t xml:space="preserve"> </w:t>
      </w:r>
      <w:r>
        <w:rPr>
          <w:color w:val="231F20"/>
          <w:sz w:val="16"/>
        </w:rPr>
        <w:t>sample was determined as the percentage of mC of total cytosines: mC peak</w:t>
      </w:r>
      <w:r>
        <w:rPr>
          <w:color w:val="231F20"/>
          <w:spacing w:val="40"/>
          <w:sz w:val="16"/>
        </w:rPr>
        <w:t xml:space="preserve"> </w:t>
      </w:r>
      <w:r>
        <w:rPr>
          <w:color w:val="231F20"/>
          <w:sz w:val="16"/>
        </w:rPr>
        <w:t xml:space="preserve">area </w:t>
      </w:r>
      <w:r>
        <w:rPr>
          <w:rFonts w:ascii="Verdana" w:hAnsi="Verdana"/>
          <w:color w:val="231F20"/>
          <w:sz w:val="16"/>
        </w:rPr>
        <w:t xml:space="preserve">× </w:t>
      </w:r>
      <w:r>
        <w:rPr>
          <w:color w:val="231F20"/>
          <w:sz w:val="16"/>
        </w:rPr>
        <w:t xml:space="preserve">100/(C peak area </w:t>
      </w:r>
      <w:r>
        <w:rPr>
          <w:rFonts w:ascii="Verdana" w:hAnsi="Verdana"/>
          <w:color w:val="231F20"/>
          <w:sz w:val="16"/>
        </w:rPr>
        <w:t xml:space="preserve">+ </w:t>
      </w:r>
      <w:r>
        <w:rPr>
          <w:color w:val="231F20"/>
          <w:sz w:val="16"/>
        </w:rPr>
        <w:t>mC peak area).</w:t>
      </w:r>
    </w:p>
    <w:p w14:paraId="1F83CAF7" w14:textId="77777777" w:rsidR="00B322A0" w:rsidRDefault="00000000">
      <w:pPr>
        <w:spacing w:line="259" w:lineRule="auto"/>
        <w:ind w:left="103" w:right="38" w:firstLine="180"/>
        <w:jc w:val="both"/>
        <w:rPr>
          <w:sz w:val="16"/>
        </w:rPr>
      </w:pPr>
      <w:r>
        <w:rPr>
          <w:b/>
          <w:color w:val="231F20"/>
          <w:sz w:val="16"/>
        </w:rPr>
        <w:t>Immunolocalization</w:t>
      </w:r>
      <w:r>
        <w:rPr>
          <w:b/>
          <w:color w:val="231F20"/>
          <w:spacing w:val="-5"/>
          <w:sz w:val="16"/>
        </w:rPr>
        <w:t xml:space="preserve"> </w:t>
      </w:r>
      <w:r>
        <w:rPr>
          <w:b/>
          <w:color w:val="231F20"/>
          <w:sz w:val="16"/>
        </w:rPr>
        <w:t>of</w:t>
      </w:r>
      <w:r>
        <w:rPr>
          <w:b/>
          <w:color w:val="231F20"/>
          <w:spacing w:val="-5"/>
          <w:sz w:val="16"/>
        </w:rPr>
        <w:t xml:space="preserve"> </w:t>
      </w:r>
      <w:r>
        <w:rPr>
          <w:b/>
          <w:color w:val="231F20"/>
          <w:sz w:val="16"/>
        </w:rPr>
        <w:t>5mC.</w:t>
      </w:r>
      <w:r>
        <w:rPr>
          <w:b/>
          <w:color w:val="231F20"/>
          <w:spacing w:val="33"/>
          <w:sz w:val="16"/>
        </w:rPr>
        <w:t xml:space="preserve"> </w:t>
      </w:r>
      <w:r>
        <w:rPr>
          <w:color w:val="231F20"/>
          <w:sz w:val="16"/>
        </w:rPr>
        <w:t>Cells</w:t>
      </w:r>
      <w:r>
        <w:rPr>
          <w:color w:val="231F20"/>
          <w:spacing w:val="-5"/>
          <w:sz w:val="16"/>
        </w:rPr>
        <w:t xml:space="preserve"> </w:t>
      </w:r>
      <w:r>
        <w:rPr>
          <w:color w:val="231F20"/>
          <w:sz w:val="16"/>
        </w:rPr>
        <w:t>grown</w:t>
      </w:r>
      <w:r>
        <w:rPr>
          <w:color w:val="231F20"/>
          <w:spacing w:val="-5"/>
          <w:sz w:val="16"/>
        </w:rPr>
        <w:t xml:space="preserve"> </w:t>
      </w:r>
      <w:r>
        <w:rPr>
          <w:color w:val="231F20"/>
          <w:sz w:val="16"/>
        </w:rPr>
        <w:t>on</w:t>
      </w:r>
      <w:r>
        <w:rPr>
          <w:color w:val="231F20"/>
          <w:spacing w:val="-5"/>
          <w:sz w:val="16"/>
        </w:rPr>
        <w:t xml:space="preserve"> </w:t>
      </w:r>
      <w:r>
        <w:rPr>
          <w:color w:val="231F20"/>
          <w:sz w:val="16"/>
        </w:rPr>
        <w:t>coverslips</w:t>
      </w:r>
      <w:r>
        <w:rPr>
          <w:color w:val="231F20"/>
          <w:spacing w:val="-5"/>
          <w:sz w:val="16"/>
        </w:rPr>
        <w:t xml:space="preserve"> </w:t>
      </w:r>
      <w:r>
        <w:rPr>
          <w:color w:val="231F20"/>
          <w:sz w:val="16"/>
        </w:rPr>
        <w:t>were</w:t>
      </w:r>
      <w:r>
        <w:rPr>
          <w:color w:val="231F20"/>
          <w:spacing w:val="-5"/>
          <w:sz w:val="16"/>
        </w:rPr>
        <w:t xml:space="preserve"> </w:t>
      </w:r>
      <w:r>
        <w:rPr>
          <w:color w:val="231F20"/>
          <w:sz w:val="16"/>
        </w:rPr>
        <w:t>stained</w:t>
      </w:r>
      <w:r>
        <w:rPr>
          <w:color w:val="231F20"/>
          <w:spacing w:val="-5"/>
          <w:sz w:val="16"/>
        </w:rPr>
        <w:t xml:space="preserve"> </w:t>
      </w:r>
      <w:r>
        <w:rPr>
          <w:color w:val="231F20"/>
          <w:sz w:val="16"/>
        </w:rPr>
        <w:t>with</w:t>
      </w:r>
      <w:r>
        <w:rPr>
          <w:color w:val="231F20"/>
          <w:spacing w:val="40"/>
          <w:sz w:val="16"/>
        </w:rPr>
        <w:t xml:space="preserve"> </w:t>
      </w:r>
      <w:r>
        <w:rPr>
          <w:color w:val="231F20"/>
          <w:sz w:val="16"/>
        </w:rPr>
        <w:t>mouse monoclonal antibodies against 5mC (kindly provided by Alain Nive-</w:t>
      </w:r>
      <w:r>
        <w:rPr>
          <w:color w:val="231F20"/>
          <w:spacing w:val="40"/>
          <w:sz w:val="16"/>
        </w:rPr>
        <w:t xml:space="preserve"> </w:t>
      </w:r>
      <w:r>
        <w:rPr>
          <w:color w:val="231F20"/>
          <w:sz w:val="16"/>
        </w:rPr>
        <w:t>leau, Universite Claude Bernard, Lyon, France) as described previously (17).</w:t>
      </w:r>
      <w:r>
        <w:rPr>
          <w:color w:val="231F20"/>
          <w:spacing w:val="40"/>
          <w:sz w:val="16"/>
        </w:rPr>
        <w:t xml:space="preserve"> </w:t>
      </w:r>
      <w:r>
        <w:rPr>
          <w:color w:val="231F20"/>
          <w:sz w:val="16"/>
        </w:rPr>
        <w:t>Images of the nuclear immunolocalization of 5 mC were obtained in a Leica</w:t>
      </w:r>
      <w:r>
        <w:rPr>
          <w:color w:val="231F20"/>
          <w:spacing w:val="40"/>
          <w:sz w:val="16"/>
        </w:rPr>
        <w:t xml:space="preserve"> </w:t>
      </w:r>
      <w:r>
        <w:rPr>
          <w:color w:val="231F20"/>
          <w:sz w:val="16"/>
        </w:rPr>
        <w:t>DMRA</w:t>
      </w:r>
      <w:r>
        <w:rPr>
          <w:color w:val="231F20"/>
          <w:spacing w:val="-5"/>
          <w:sz w:val="16"/>
        </w:rPr>
        <w:t xml:space="preserve"> </w:t>
      </w:r>
      <w:r>
        <w:rPr>
          <w:color w:val="231F20"/>
          <w:sz w:val="16"/>
        </w:rPr>
        <w:t>fluorescence</w:t>
      </w:r>
      <w:r>
        <w:rPr>
          <w:color w:val="231F20"/>
          <w:spacing w:val="-5"/>
          <w:sz w:val="16"/>
        </w:rPr>
        <w:t xml:space="preserve"> </w:t>
      </w:r>
      <w:r>
        <w:rPr>
          <w:color w:val="231F20"/>
          <w:sz w:val="16"/>
        </w:rPr>
        <w:t>microscope</w:t>
      </w:r>
      <w:r>
        <w:rPr>
          <w:color w:val="231F20"/>
          <w:spacing w:val="-5"/>
          <w:sz w:val="16"/>
        </w:rPr>
        <w:t xml:space="preserve"> </w:t>
      </w:r>
      <w:r>
        <w:rPr>
          <w:color w:val="231F20"/>
          <w:sz w:val="16"/>
        </w:rPr>
        <w:t>coupled</w:t>
      </w:r>
      <w:r>
        <w:rPr>
          <w:color w:val="231F20"/>
          <w:spacing w:val="-5"/>
          <w:sz w:val="16"/>
        </w:rPr>
        <w:t xml:space="preserve"> </w:t>
      </w:r>
      <w:r>
        <w:rPr>
          <w:color w:val="231F20"/>
          <w:sz w:val="16"/>
        </w:rPr>
        <w:t>to</w:t>
      </w:r>
      <w:r>
        <w:rPr>
          <w:color w:val="231F20"/>
          <w:spacing w:val="-5"/>
          <w:sz w:val="16"/>
        </w:rPr>
        <w:t xml:space="preserve"> </w:t>
      </w:r>
      <w:r>
        <w:rPr>
          <w:color w:val="231F20"/>
          <w:sz w:val="16"/>
        </w:rPr>
        <w:t>a</w:t>
      </w:r>
      <w:r>
        <w:rPr>
          <w:color w:val="231F20"/>
          <w:spacing w:val="-5"/>
          <w:sz w:val="16"/>
        </w:rPr>
        <w:t xml:space="preserve"> </w:t>
      </w:r>
      <w:r>
        <w:rPr>
          <w:color w:val="231F20"/>
          <w:sz w:val="16"/>
        </w:rPr>
        <w:t>Leica</w:t>
      </w:r>
      <w:r>
        <w:rPr>
          <w:color w:val="231F20"/>
          <w:spacing w:val="-5"/>
          <w:sz w:val="16"/>
        </w:rPr>
        <w:t xml:space="preserve"> </w:t>
      </w:r>
      <w:r>
        <w:rPr>
          <w:color w:val="231F20"/>
          <w:sz w:val="16"/>
        </w:rPr>
        <w:t>DC200</w:t>
      </w:r>
      <w:r>
        <w:rPr>
          <w:color w:val="231F20"/>
          <w:spacing w:val="-5"/>
          <w:sz w:val="16"/>
        </w:rPr>
        <w:t xml:space="preserve"> </w:t>
      </w:r>
      <w:r>
        <w:rPr>
          <w:color w:val="231F20"/>
          <w:sz w:val="16"/>
        </w:rPr>
        <w:t>digital</w:t>
      </w:r>
      <w:r>
        <w:rPr>
          <w:color w:val="231F20"/>
          <w:spacing w:val="-5"/>
          <w:sz w:val="16"/>
        </w:rPr>
        <w:t xml:space="preserve"> </w:t>
      </w:r>
      <w:r>
        <w:rPr>
          <w:color w:val="231F20"/>
          <w:sz w:val="16"/>
        </w:rPr>
        <w:t>camera</w:t>
      </w:r>
      <w:r>
        <w:rPr>
          <w:color w:val="231F20"/>
          <w:spacing w:val="-5"/>
          <w:sz w:val="16"/>
        </w:rPr>
        <w:t xml:space="preserve"> </w:t>
      </w:r>
      <w:r>
        <w:rPr>
          <w:color w:val="231F20"/>
          <w:sz w:val="16"/>
        </w:rPr>
        <w:t>and</w:t>
      </w:r>
      <w:r>
        <w:rPr>
          <w:color w:val="231F20"/>
          <w:spacing w:val="40"/>
          <w:sz w:val="16"/>
        </w:rPr>
        <w:t xml:space="preserve"> </w:t>
      </w:r>
      <w:r>
        <w:rPr>
          <w:color w:val="231F20"/>
          <w:sz w:val="16"/>
        </w:rPr>
        <w:t>captured with the Adobe Photoshop software. Densitometric profiles of light</w:t>
      </w:r>
      <w:r>
        <w:rPr>
          <w:color w:val="231F20"/>
          <w:spacing w:val="40"/>
          <w:sz w:val="16"/>
        </w:rPr>
        <w:t xml:space="preserve"> </w:t>
      </w:r>
      <w:r>
        <w:rPr>
          <w:color w:val="231F20"/>
          <w:sz w:val="16"/>
        </w:rPr>
        <w:t>intensity through the orthogonal projections in the XY plane of captured</w:t>
      </w:r>
      <w:r>
        <w:rPr>
          <w:color w:val="231F20"/>
          <w:spacing w:val="40"/>
          <w:sz w:val="16"/>
        </w:rPr>
        <w:t xml:space="preserve"> </w:t>
      </w:r>
      <w:r>
        <w:rPr>
          <w:color w:val="231F20"/>
          <w:sz w:val="16"/>
        </w:rPr>
        <w:t>images were generated by the public NIH Image software. Profiles are repre-</w:t>
      </w:r>
      <w:r>
        <w:rPr>
          <w:color w:val="231F20"/>
          <w:spacing w:val="40"/>
          <w:sz w:val="16"/>
        </w:rPr>
        <w:t xml:space="preserve"> </w:t>
      </w:r>
      <w:r>
        <w:rPr>
          <w:color w:val="231F20"/>
          <w:sz w:val="16"/>
        </w:rPr>
        <w:t xml:space="preserve">sentative of the analysis of </w:t>
      </w:r>
      <w:r>
        <w:rPr>
          <w:rFonts w:ascii="Verdana"/>
          <w:color w:val="231F20"/>
          <w:sz w:val="16"/>
        </w:rPr>
        <w:t>~</w:t>
      </w:r>
      <w:r>
        <w:rPr>
          <w:color w:val="231F20"/>
          <w:sz w:val="16"/>
        </w:rPr>
        <w:t>50 different nuclei in three different samples. To</w:t>
      </w:r>
      <w:r>
        <w:rPr>
          <w:color w:val="231F20"/>
          <w:spacing w:val="40"/>
          <w:sz w:val="16"/>
        </w:rPr>
        <w:t xml:space="preserve"> </w:t>
      </w:r>
      <w:r>
        <w:rPr>
          <w:color w:val="231F20"/>
          <w:sz w:val="16"/>
        </w:rPr>
        <w:t>avoid false light signals of fluorescence stacking due to an artifactual mor-</w:t>
      </w:r>
      <w:r>
        <w:rPr>
          <w:color w:val="231F20"/>
          <w:spacing w:val="40"/>
          <w:sz w:val="16"/>
        </w:rPr>
        <w:t xml:space="preserve"> </w:t>
      </w:r>
      <w:r>
        <w:rPr>
          <w:color w:val="231F20"/>
          <w:sz w:val="16"/>
        </w:rPr>
        <w:t>phology,</w:t>
      </w:r>
      <w:r>
        <w:rPr>
          <w:color w:val="231F20"/>
          <w:spacing w:val="-7"/>
          <w:sz w:val="16"/>
        </w:rPr>
        <w:t xml:space="preserve"> </w:t>
      </w:r>
      <w:r>
        <w:rPr>
          <w:color w:val="231F20"/>
          <w:sz w:val="16"/>
        </w:rPr>
        <w:t>only</w:t>
      </w:r>
      <w:r>
        <w:rPr>
          <w:color w:val="231F20"/>
          <w:spacing w:val="-7"/>
          <w:sz w:val="16"/>
        </w:rPr>
        <w:t xml:space="preserve"> </w:t>
      </w:r>
      <w:r>
        <w:rPr>
          <w:color w:val="231F20"/>
          <w:sz w:val="16"/>
        </w:rPr>
        <w:t>nuclei</w:t>
      </w:r>
      <w:r>
        <w:rPr>
          <w:color w:val="231F20"/>
          <w:spacing w:val="-7"/>
          <w:sz w:val="16"/>
        </w:rPr>
        <w:t xml:space="preserve"> </w:t>
      </w:r>
      <w:r>
        <w:rPr>
          <w:color w:val="231F20"/>
          <w:sz w:val="16"/>
        </w:rPr>
        <w:t>with</w:t>
      </w:r>
      <w:r>
        <w:rPr>
          <w:color w:val="231F20"/>
          <w:spacing w:val="-7"/>
          <w:sz w:val="16"/>
        </w:rPr>
        <w:t xml:space="preserve"> </w:t>
      </w:r>
      <w:r>
        <w:rPr>
          <w:color w:val="231F20"/>
          <w:sz w:val="16"/>
        </w:rPr>
        <w:t>a</w:t>
      </w:r>
      <w:r>
        <w:rPr>
          <w:color w:val="231F20"/>
          <w:spacing w:val="-7"/>
          <w:sz w:val="16"/>
        </w:rPr>
        <w:t xml:space="preserve"> </w:t>
      </w:r>
      <w:r>
        <w:rPr>
          <w:color w:val="231F20"/>
          <w:sz w:val="16"/>
        </w:rPr>
        <w:t>homogeneous</w:t>
      </w:r>
      <w:r>
        <w:rPr>
          <w:color w:val="231F20"/>
          <w:spacing w:val="-7"/>
          <w:sz w:val="16"/>
        </w:rPr>
        <w:t xml:space="preserve"> </w:t>
      </w:r>
      <w:r>
        <w:rPr>
          <w:color w:val="231F20"/>
          <w:sz w:val="16"/>
        </w:rPr>
        <w:t>chromatin</w:t>
      </w:r>
      <w:r>
        <w:rPr>
          <w:color w:val="231F20"/>
          <w:spacing w:val="-7"/>
          <w:sz w:val="16"/>
        </w:rPr>
        <w:t xml:space="preserve"> </w:t>
      </w:r>
      <w:r>
        <w:rPr>
          <w:color w:val="231F20"/>
          <w:sz w:val="16"/>
        </w:rPr>
        <w:t>distribution</w:t>
      </w:r>
      <w:r>
        <w:rPr>
          <w:color w:val="231F20"/>
          <w:spacing w:val="-7"/>
          <w:sz w:val="16"/>
        </w:rPr>
        <w:t xml:space="preserve"> </w:t>
      </w:r>
      <w:r>
        <w:rPr>
          <w:color w:val="231F20"/>
          <w:sz w:val="16"/>
        </w:rPr>
        <w:t>revealed</w:t>
      </w:r>
      <w:r>
        <w:rPr>
          <w:color w:val="231F20"/>
          <w:spacing w:val="-7"/>
          <w:sz w:val="16"/>
        </w:rPr>
        <w:t xml:space="preserve"> </w:t>
      </w:r>
      <w:r>
        <w:rPr>
          <w:color w:val="231F20"/>
          <w:sz w:val="16"/>
        </w:rPr>
        <w:t>after</w:t>
      </w:r>
      <w:r>
        <w:rPr>
          <w:color w:val="231F20"/>
          <w:spacing w:val="40"/>
          <w:sz w:val="16"/>
        </w:rPr>
        <w:t xml:space="preserve"> </w:t>
      </w:r>
      <w:r>
        <w:rPr>
          <w:color w:val="231F20"/>
          <w:sz w:val="16"/>
        </w:rPr>
        <w:t>4</w:t>
      </w:r>
      <w:r>
        <w:rPr>
          <w:rFonts w:ascii="Verdana"/>
          <w:color w:val="231F20"/>
          <w:sz w:val="16"/>
        </w:rPr>
        <w:t>'</w:t>
      </w:r>
      <w:r>
        <w:rPr>
          <w:color w:val="231F20"/>
          <w:sz w:val="16"/>
        </w:rPr>
        <w:t>,6-diamidino-2-phenylindole staining were considered in the densitometric</w:t>
      </w:r>
      <w:r>
        <w:rPr>
          <w:color w:val="231F20"/>
          <w:spacing w:val="40"/>
          <w:sz w:val="16"/>
        </w:rPr>
        <w:t xml:space="preserve"> </w:t>
      </w:r>
      <w:r>
        <w:rPr>
          <w:color w:val="231F20"/>
          <w:spacing w:val="-2"/>
          <w:sz w:val="16"/>
        </w:rPr>
        <w:t>analysis.</w:t>
      </w:r>
    </w:p>
    <w:p w14:paraId="1E0E3408" w14:textId="77777777" w:rsidR="00B322A0" w:rsidRDefault="00000000">
      <w:pPr>
        <w:spacing w:line="261" w:lineRule="auto"/>
        <w:ind w:left="103" w:right="38" w:firstLine="180"/>
        <w:jc w:val="both"/>
        <w:rPr>
          <w:sz w:val="16"/>
        </w:rPr>
      </w:pPr>
      <w:r>
        <w:rPr>
          <w:b/>
          <w:color w:val="231F20"/>
          <w:sz w:val="16"/>
        </w:rPr>
        <w:t>DNA</w:t>
      </w:r>
      <w:r>
        <w:rPr>
          <w:b/>
          <w:color w:val="231F20"/>
          <w:spacing w:val="-3"/>
          <w:sz w:val="16"/>
        </w:rPr>
        <w:t xml:space="preserve"> </w:t>
      </w:r>
      <w:r>
        <w:rPr>
          <w:b/>
          <w:color w:val="231F20"/>
          <w:sz w:val="16"/>
        </w:rPr>
        <w:t>Methylation</w:t>
      </w:r>
      <w:r>
        <w:rPr>
          <w:b/>
          <w:color w:val="231F20"/>
          <w:spacing w:val="-3"/>
          <w:sz w:val="16"/>
        </w:rPr>
        <w:t xml:space="preserve"> </w:t>
      </w:r>
      <w:r>
        <w:rPr>
          <w:b/>
          <w:color w:val="231F20"/>
          <w:sz w:val="16"/>
        </w:rPr>
        <w:t>Analysis</w:t>
      </w:r>
      <w:r>
        <w:rPr>
          <w:b/>
          <w:color w:val="231F20"/>
          <w:spacing w:val="-3"/>
          <w:sz w:val="16"/>
        </w:rPr>
        <w:t xml:space="preserve"> </w:t>
      </w:r>
      <w:r>
        <w:rPr>
          <w:b/>
          <w:color w:val="231F20"/>
          <w:sz w:val="16"/>
        </w:rPr>
        <w:t>of</w:t>
      </w:r>
      <w:r>
        <w:rPr>
          <w:b/>
          <w:color w:val="231F20"/>
          <w:spacing w:val="-3"/>
          <w:sz w:val="16"/>
        </w:rPr>
        <w:t xml:space="preserve"> </w:t>
      </w:r>
      <w:r>
        <w:rPr>
          <w:b/>
          <w:color w:val="231F20"/>
          <w:sz w:val="16"/>
        </w:rPr>
        <w:t>Particular</w:t>
      </w:r>
      <w:r>
        <w:rPr>
          <w:b/>
          <w:color w:val="231F20"/>
          <w:spacing w:val="-3"/>
          <w:sz w:val="16"/>
        </w:rPr>
        <w:t xml:space="preserve"> </w:t>
      </w:r>
      <w:r>
        <w:rPr>
          <w:b/>
          <w:color w:val="231F20"/>
          <w:sz w:val="16"/>
        </w:rPr>
        <w:t>Genes.</w:t>
      </w:r>
      <w:r>
        <w:rPr>
          <w:b/>
          <w:color w:val="231F20"/>
          <w:spacing w:val="33"/>
          <w:sz w:val="16"/>
        </w:rPr>
        <w:t xml:space="preserve"> </w:t>
      </w:r>
      <w:r>
        <w:rPr>
          <w:color w:val="231F20"/>
          <w:sz w:val="16"/>
        </w:rPr>
        <w:t>We</w:t>
      </w:r>
      <w:r>
        <w:rPr>
          <w:color w:val="231F20"/>
          <w:spacing w:val="-3"/>
          <w:sz w:val="16"/>
        </w:rPr>
        <w:t xml:space="preserve"> </w:t>
      </w:r>
      <w:r>
        <w:rPr>
          <w:color w:val="231F20"/>
          <w:sz w:val="16"/>
        </w:rPr>
        <w:t>carried</w:t>
      </w:r>
      <w:r>
        <w:rPr>
          <w:color w:val="231F20"/>
          <w:spacing w:val="-3"/>
          <w:sz w:val="16"/>
        </w:rPr>
        <w:t xml:space="preserve"> </w:t>
      </w:r>
      <w:r>
        <w:rPr>
          <w:color w:val="231F20"/>
          <w:sz w:val="16"/>
        </w:rPr>
        <w:t>out</w:t>
      </w:r>
      <w:r>
        <w:rPr>
          <w:color w:val="231F20"/>
          <w:spacing w:val="-3"/>
          <w:sz w:val="16"/>
        </w:rPr>
        <w:t xml:space="preserve"> </w:t>
      </w:r>
      <w:r>
        <w:rPr>
          <w:color w:val="231F20"/>
          <w:sz w:val="16"/>
        </w:rPr>
        <w:t>bisulfite</w:t>
      </w:r>
      <w:r>
        <w:rPr>
          <w:color w:val="231F20"/>
          <w:spacing w:val="40"/>
          <w:sz w:val="16"/>
        </w:rPr>
        <w:t xml:space="preserve"> </w:t>
      </w:r>
      <w:r>
        <w:rPr>
          <w:color w:val="231F20"/>
          <w:sz w:val="16"/>
        </w:rPr>
        <w:t>modification of genomic DNA as described previously (18). We established</w:t>
      </w:r>
      <w:r>
        <w:rPr>
          <w:color w:val="231F20"/>
          <w:spacing w:val="40"/>
          <w:sz w:val="16"/>
        </w:rPr>
        <w:t xml:space="preserve"> </w:t>
      </w:r>
      <w:r>
        <w:rPr>
          <w:color w:val="231F20"/>
          <w:sz w:val="16"/>
        </w:rPr>
        <w:t>methylation status by PCR analysis of bisulfite-modified genomic DNA using</w:t>
      </w:r>
      <w:r>
        <w:rPr>
          <w:color w:val="231F20"/>
          <w:spacing w:val="40"/>
          <w:sz w:val="16"/>
        </w:rPr>
        <w:t xml:space="preserve"> </w:t>
      </w:r>
      <w:r>
        <w:rPr>
          <w:color w:val="231F20"/>
          <w:sz w:val="16"/>
        </w:rPr>
        <w:t>two procedures. Firstly, all of the genes investigated were analyzed by bi-</w:t>
      </w:r>
      <w:r>
        <w:rPr>
          <w:color w:val="231F20"/>
          <w:spacing w:val="40"/>
          <w:sz w:val="16"/>
        </w:rPr>
        <w:t xml:space="preserve"> </w:t>
      </w:r>
      <w:r>
        <w:rPr>
          <w:color w:val="231F20"/>
          <w:sz w:val="16"/>
        </w:rPr>
        <w:t>sulfite genomic sequencing of their corresponding CpG islands, as described</w:t>
      </w:r>
      <w:r>
        <w:rPr>
          <w:color w:val="231F20"/>
          <w:spacing w:val="40"/>
          <w:sz w:val="16"/>
        </w:rPr>
        <w:t xml:space="preserve"> </w:t>
      </w:r>
      <w:r>
        <w:rPr>
          <w:color w:val="231F20"/>
          <w:sz w:val="16"/>
        </w:rPr>
        <w:t>elsewhere (19). Both strands were sequenced. The second analysis used</w:t>
      </w:r>
      <w:r>
        <w:rPr>
          <w:color w:val="231F20"/>
          <w:spacing w:val="40"/>
          <w:sz w:val="16"/>
        </w:rPr>
        <w:t xml:space="preserve"> </w:t>
      </w:r>
      <w:r>
        <w:rPr>
          <w:color w:val="231F20"/>
          <w:sz w:val="16"/>
        </w:rPr>
        <w:t>methylation-specific PCR for all of the genes analyzed in several cancer cell</w:t>
      </w:r>
      <w:r>
        <w:rPr>
          <w:color w:val="231F20"/>
          <w:spacing w:val="40"/>
          <w:sz w:val="16"/>
        </w:rPr>
        <w:t xml:space="preserve"> </w:t>
      </w:r>
      <w:r>
        <w:rPr>
          <w:color w:val="231F20"/>
          <w:sz w:val="16"/>
        </w:rPr>
        <w:t>lines and tissue samples, as described previously (18). We designed all of the</w:t>
      </w:r>
      <w:r>
        <w:rPr>
          <w:color w:val="231F20"/>
          <w:spacing w:val="40"/>
          <w:sz w:val="16"/>
        </w:rPr>
        <w:t xml:space="preserve"> </w:t>
      </w:r>
      <w:r>
        <w:rPr>
          <w:color w:val="231F20"/>
          <w:sz w:val="16"/>
        </w:rPr>
        <w:t>bisulfite</w:t>
      </w:r>
      <w:r>
        <w:rPr>
          <w:color w:val="231F20"/>
          <w:spacing w:val="-6"/>
          <w:sz w:val="16"/>
        </w:rPr>
        <w:t xml:space="preserve"> </w:t>
      </w:r>
      <w:r>
        <w:rPr>
          <w:color w:val="231F20"/>
          <w:sz w:val="16"/>
        </w:rPr>
        <w:t>genomic</w:t>
      </w:r>
      <w:r>
        <w:rPr>
          <w:color w:val="231F20"/>
          <w:spacing w:val="-6"/>
          <w:sz w:val="16"/>
        </w:rPr>
        <w:t xml:space="preserve"> </w:t>
      </w:r>
      <w:r>
        <w:rPr>
          <w:color w:val="231F20"/>
          <w:sz w:val="16"/>
        </w:rPr>
        <w:t>sequencing</w:t>
      </w:r>
      <w:r>
        <w:rPr>
          <w:color w:val="231F20"/>
          <w:spacing w:val="-6"/>
          <w:sz w:val="16"/>
        </w:rPr>
        <w:t xml:space="preserve"> </w:t>
      </w:r>
      <w:r>
        <w:rPr>
          <w:color w:val="231F20"/>
          <w:sz w:val="16"/>
        </w:rPr>
        <w:t>and</w:t>
      </w:r>
      <w:r>
        <w:rPr>
          <w:color w:val="231F20"/>
          <w:spacing w:val="-6"/>
          <w:sz w:val="16"/>
        </w:rPr>
        <w:t xml:space="preserve"> </w:t>
      </w:r>
      <w:r>
        <w:rPr>
          <w:color w:val="231F20"/>
          <w:sz w:val="16"/>
        </w:rPr>
        <w:t>methylation-specific</w:t>
      </w:r>
      <w:r>
        <w:rPr>
          <w:color w:val="231F20"/>
          <w:spacing w:val="-6"/>
          <w:sz w:val="16"/>
        </w:rPr>
        <w:t xml:space="preserve"> </w:t>
      </w:r>
      <w:r>
        <w:rPr>
          <w:color w:val="231F20"/>
          <w:sz w:val="16"/>
        </w:rPr>
        <w:t>PCR</w:t>
      </w:r>
      <w:r>
        <w:rPr>
          <w:color w:val="231F20"/>
          <w:spacing w:val="-6"/>
          <w:sz w:val="16"/>
        </w:rPr>
        <w:t xml:space="preserve"> </w:t>
      </w:r>
      <w:r>
        <w:rPr>
          <w:color w:val="231F20"/>
          <w:sz w:val="16"/>
        </w:rPr>
        <w:t>primers</w:t>
      </w:r>
      <w:r>
        <w:rPr>
          <w:color w:val="231F20"/>
          <w:spacing w:val="-6"/>
          <w:sz w:val="16"/>
        </w:rPr>
        <w:t xml:space="preserve"> </w:t>
      </w:r>
      <w:r>
        <w:rPr>
          <w:color w:val="231F20"/>
          <w:sz w:val="16"/>
        </w:rPr>
        <w:t>according</w:t>
      </w:r>
      <w:r>
        <w:rPr>
          <w:color w:val="231F20"/>
          <w:spacing w:val="40"/>
          <w:sz w:val="16"/>
        </w:rPr>
        <w:t xml:space="preserve"> </w:t>
      </w:r>
      <w:r>
        <w:rPr>
          <w:color w:val="231F20"/>
          <w:sz w:val="16"/>
        </w:rPr>
        <w:t>to</w:t>
      </w:r>
      <w:r>
        <w:rPr>
          <w:color w:val="231F20"/>
          <w:spacing w:val="-3"/>
          <w:sz w:val="16"/>
        </w:rPr>
        <w:t xml:space="preserve"> </w:t>
      </w:r>
      <w:r>
        <w:rPr>
          <w:color w:val="231F20"/>
          <w:sz w:val="16"/>
        </w:rPr>
        <w:t>genomic</w:t>
      </w:r>
      <w:r>
        <w:rPr>
          <w:color w:val="231F20"/>
          <w:spacing w:val="-3"/>
          <w:sz w:val="16"/>
        </w:rPr>
        <w:t xml:space="preserve"> </w:t>
      </w:r>
      <w:r>
        <w:rPr>
          <w:color w:val="231F20"/>
          <w:sz w:val="16"/>
        </w:rPr>
        <w:t>sequences</w:t>
      </w:r>
      <w:r>
        <w:rPr>
          <w:color w:val="231F20"/>
          <w:spacing w:val="-3"/>
          <w:sz w:val="16"/>
        </w:rPr>
        <w:t xml:space="preserve"> </w:t>
      </w:r>
      <w:r>
        <w:rPr>
          <w:color w:val="231F20"/>
          <w:sz w:val="16"/>
        </w:rPr>
        <w:t>around</w:t>
      </w:r>
      <w:r>
        <w:rPr>
          <w:color w:val="231F20"/>
          <w:spacing w:val="-3"/>
          <w:sz w:val="16"/>
        </w:rPr>
        <w:t xml:space="preserve"> </w:t>
      </w:r>
      <w:r>
        <w:rPr>
          <w:color w:val="231F20"/>
          <w:sz w:val="16"/>
        </w:rPr>
        <w:t>presumed</w:t>
      </w:r>
      <w:r>
        <w:rPr>
          <w:color w:val="231F20"/>
          <w:spacing w:val="-3"/>
          <w:sz w:val="16"/>
        </w:rPr>
        <w:t xml:space="preserve"> </w:t>
      </w:r>
      <w:r>
        <w:rPr>
          <w:color w:val="231F20"/>
          <w:sz w:val="16"/>
        </w:rPr>
        <w:t>transcription</w:t>
      </w:r>
      <w:r>
        <w:rPr>
          <w:color w:val="231F20"/>
          <w:spacing w:val="-3"/>
          <w:sz w:val="16"/>
        </w:rPr>
        <w:t xml:space="preserve"> </w:t>
      </w:r>
      <w:r>
        <w:rPr>
          <w:color w:val="231F20"/>
          <w:sz w:val="16"/>
        </w:rPr>
        <w:t>start</w:t>
      </w:r>
      <w:r>
        <w:rPr>
          <w:color w:val="231F20"/>
          <w:spacing w:val="-3"/>
          <w:sz w:val="16"/>
        </w:rPr>
        <w:t xml:space="preserve"> </w:t>
      </w:r>
      <w:r>
        <w:rPr>
          <w:color w:val="231F20"/>
          <w:sz w:val="16"/>
        </w:rPr>
        <w:t>sites</w:t>
      </w:r>
      <w:r>
        <w:rPr>
          <w:color w:val="231F20"/>
          <w:spacing w:val="-3"/>
          <w:sz w:val="16"/>
        </w:rPr>
        <w:t xml:space="preserve"> </w:t>
      </w:r>
      <w:r>
        <w:rPr>
          <w:color w:val="231F20"/>
          <w:sz w:val="16"/>
        </w:rPr>
        <w:t>of</w:t>
      </w:r>
      <w:r>
        <w:rPr>
          <w:color w:val="231F20"/>
          <w:spacing w:val="-3"/>
          <w:sz w:val="16"/>
        </w:rPr>
        <w:t xml:space="preserve"> </w:t>
      </w:r>
      <w:r>
        <w:rPr>
          <w:color w:val="231F20"/>
          <w:sz w:val="16"/>
        </w:rPr>
        <w:t>investigated</w:t>
      </w:r>
      <w:r>
        <w:rPr>
          <w:color w:val="231F20"/>
          <w:spacing w:val="40"/>
          <w:sz w:val="16"/>
        </w:rPr>
        <w:t xml:space="preserve"> </w:t>
      </w:r>
      <w:r>
        <w:rPr>
          <w:color w:val="231F20"/>
          <w:sz w:val="16"/>
        </w:rPr>
        <w:t>genes. Primer sequences and PCR conditions for methylation analysis are</w:t>
      </w:r>
      <w:r>
        <w:rPr>
          <w:color w:val="231F20"/>
          <w:spacing w:val="40"/>
          <w:sz w:val="16"/>
        </w:rPr>
        <w:t xml:space="preserve"> </w:t>
      </w:r>
      <w:r>
        <w:rPr>
          <w:color w:val="231F20"/>
          <w:sz w:val="16"/>
        </w:rPr>
        <w:t>included in supplementary web data.</w:t>
      </w:r>
    </w:p>
    <w:p w14:paraId="21EEE9A1" w14:textId="77777777" w:rsidR="00B322A0" w:rsidRDefault="00000000">
      <w:pPr>
        <w:spacing w:line="259" w:lineRule="auto"/>
        <w:ind w:left="103" w:right="39" w:firstLine="180"/>
        <w:jc w:val="both"/>
        <w:rPr>
          <w:sz w:val="16"/>
        </w:rPr>
      </w:pPr>
      <w:r>
        <w:rPr>
          <w:b/>
          <w:color w:val="231F20"/>
          <w:sz w:val="16"/>
        </w:rPr>
        <w:t>Chromatin</w:t>
      </w:r>
      <w:r>
        <w:rPr>
          <w:b/>
          <w:color w:val="231F20"/>
          <w:spacing w:val="-10"/>
          <w:sz w:val="16"/>
        </w:rPr>
        <w:t xml:space="preserve"> </w:t>
      </w:r>
      <w:r>
        <w:rPr>
          <w:b/>
          <w:color w:val="231F20"/>
          <w:sz w:val="16"/>
        </w:rPr>
        <w:t>Immunoprecipitation.</w:t>
      </w:r>
      <w:r>
        <w:rPr>
          <w:b/>
          <w:color w:val="231F20"/>
          <w:spacing w:val="-5"/>
          <w:sz w:val="16"/>
        </w:rPr>
        <w:t xml:space="preserve"> </w:t>
      </w:r>
      <w:r>
        <w:rPr>
          <w:color w:val="231F20"/>
          <w:sz w:val="16"/>
        </w:rPr>
        <w:t>Chromatin</w:t>
      </w:r>
      <w:r>
        <w:rPr>
          <w:color w:val="231F20"/>
          <w:spacing w:val="-10"/>
          <w:sz w:val="16"/>
        </w:rPr>
        <w:t xml:space="preserve"> </w:t>
      </w:r>
      <w:r>
        <w:rPr>
          <w:color w:val="231F20"/>
          <w:sz w:val="16"/>
        </w:rPr>
        <w:t>immunoprecipitation</w:t>
      </w:r>
      <w:r>
        <w:rPr>
          <w:color w:val="231F20"/>
          <w:spacing w:val="-10"/>
          <w:sz w:val="16"/>
        </w:rPr>
        <w:t xml:space="preserve"> </w:t>
      </w:r>
      <w:r>
        <w:rPr>
          <w:color w:val="231F20"/>
          <w:sz w:val="16"/>
        </w:rPr>
        <w:t>assays</w:t>
      </w:r>
      <w:r>
        <w:rPr>
          <w:color w:val="231F20"/>
          <w:spacing w:val="40"/>
          <w:sz w:val="16"/>
        </w:rPr>
        <w:t xml:space="preserve"> </w:t>
      </w:r>
      <w:r>
        <w:rPr>
          <w:color w:val="231F20"/>
          <w:sz w:val="16"/>
        </w:rPr>
        <w:t>were performed as described previously (19) using commercial antiacetylated</w:t>
      </w:r>
      <w:r>
        <w:rPr>
          <w:color w:val="231F20"/>
          <w:spacing w:val="40"/>
          <w:sz w:val="16"/>
        </w:rPr>
        <w:t xml:space="preserve"> </w:t>
      </w:r>
      <w:r>
        <w:rPr>
          <w:color w:val="231F20"/>
          <w:sz w:val="16"/>
        </w:rPr>
        <w:t>histone H4 and antimethylK4 H3 antibodies (Upstate Biotechnologies). Chro-</w:t>
      </w:r>
      <w:r>
        <w:rPr>
          <w:color w:val="231F20"/>
          <w:spacing w:val="40"/>
          <w:sz w:val="16"/>
        </w:rPr>
        <w:t xml:space="preserve"> </w:t>
      </w:r>
      <w:r>
        <w:rPr>
          <w:color w:val="231F20"/>
          <w:sz w:val="16"/>
        </w:rPr>
        <w:t>matin was sheared to an average length of 0.25–1 kb for this analysis. PCR</w:t>
      </w:r>
      <w:r>
        <w:rPr>
          <w:color w:val="231F20"/>
          <w:spacing w:val="40"/>
          <w:sz w:val="16"/>
        </w:rPr>
        <w:t xml:space="preserve"> </w:t>
      </w:r>
      <w:r>
        <w:rPr>
          <w:color w:val="231F20"/>
          <w:sz w:val="16"/>
        </w:rPr>
        <w:t xml:space="preserve">amplification was performed in 25 </w:t>
      </w:r>
      <w:r>
        <w:rPr>
          <w:rFonts w:ascii="Verdana" w:hAnsi="Verdana"/>
          <w:color w:val="231F20"/>
          <w:sz w:val="16"/>
        </w:rPr>
        <w:t>µ</w:t>
      </w:r>
      <w:r>
        <w:rPr>
          <w:color w:val="231F20"/>
          <w:sz w:val="16"/>
        </w:rPr>
        <w:t>l with specific primers for each of the</w:t>
      </w:r>
      <w:r>
        <w:rPr>
          <w:color w:val="231F20"/>
          <w:spacing w:val="40"/>
          <w:sz w:val="16"/>
        </w:rPr>
        <w:t xml:space="preserve"> </w:t>
      </w:r>
      <w:r>
        <w:rPr>
          <w:color w:val="231F20"/>
          <w:sz w:val="16"/>
        </w:rPr>
        <w:t>analyzed promoters. For each promoter, the sensitivity of PCR amplification</w:t>
      </w:r>
      <w:r>
        <w:rPr>
          <w:color w:val="231F20"/>
          <w:spacing w:val="40"/>
          <w:sz w:val="16"/>
        </w:rPr>
        <w:t xml:space="preserve"> </w:t>
      </w:r>
      <w:r>
        <w:rPr>
          <w:color w:val="231F20"/>
          <w:sz w:val="16"/>
        </w:rPr>
        <w:t>was</w:t>
      </w:r>
      <w:r>
        <w:rPr>
          <w:color w:val="231F20"/>
          <w:spacing w:val="-4"/>
          <w:sz w:val="16"/>
        </w:rPr>
        <w:t xml:space="preserve"> </w:t>
      </w:r>
      <w:r>
        <w:rPr>
          <w:color w:val="231F20"/>
          <w:sz w:val="16"/>
        </w:rPr>
        <w:t>evaluated</w:t>
      </w:r>
      <w:r>
        <w:rPr>
          <w:color w:val="231F20"/>
          <w:spacing w:val="-4"/>
          <w:sz w:val="16"/>
        </w:rPr>
        <w:t xml:space="preserve"> </w:t>
      </w:r>
      <w:r>
        <w:rPr>
          <w:color w:val="231F20"/>
          <w:sz w:val="16"/>
        </w:rPr>
        <w:t>on</w:t>
      </w:r>
      <w:r>
        <w:rPr>
          <w:color w:val="231F20"/>
          <w:spacing w:val="-4"/>
          <w:sz w:val="16"/>
        </w:rPr>
        <w:t xml:space="preserve"> </w:t>
      </w:r>
      <w:r>
        <w:rPr>
          <w:color w:val="231F20"/>
          <w:sz w:val="16"/>
        </w:rPr>
        <w:t>serial</w:t>
      </w:r>
      <w:r>
        <w:rPr>
          <w:color w:val="231F20"/>
          <w:spacing w:val="-4"/>
          <w:sz w:val="16"/>
        </w:rPr>
        <w:t xml:space="preserve"> </w:t>
      </w:r>
      <w:r>
        <w:rPr>
          <w:color w:val="231F20"/>
          <w:sz w:val="16"/>
        </w:rPr>
        <w:t>dilutions</w:t>
      </w:r>
      <w:r>
        <w:rPr>
          <w:color w:val="231F20"/>
          <w:spacing w:val="-4"/>
          <w:sz w:val="16"/>
        </w:rPr>
        <w:t xml:space="preserve"> </w:t>
      </w:r>
      <w:r>
        <w:rPr>
          <w:color w:val="231F20"/>
          <w:sz w:val="16"/>
        </w:rPr>
        <w:t>of</w:t>
      </w:r>
      <w:r>
        <w:rPr>
          <w:color w:val="231F20"/>
          <w:spacing w:val="-4"/>
          <w:sz w:val="16"/>
        </w:rPr>
        <w:t xml:space="preserve"> </w:t>
      </w:r>
      <w:r>
        <w:rPr>
          <w:color w:val="231F20"/>
          <w:sz w:val="16"/>
        </w:rPr>
        <w:t>total</w:t>
      </w:r>
      <w:r>
        <w:rPr>
          <w:color w:val="231F20"/>
          <w:spacing w:val="-4"/>
          <w:sz w:val="16"/>
        </w:rPr>
        <w:t xml:space="preserve"> </w:t>
      </w:r>
      <w:r>
        <w:rPr>
          <w:color w:val="231F20"/>
          <w:sz w:val="16"/>
        </w:rPr>
        <w:t>DNA</w:t>
      </w:r>
      <w:r>
        <w:rPr>
          <w:color w:val="231F20"/>
          <w:spacing w:val="-4"/>
          <w:sz w:val="16"/>
        </w:rPr>
        <w:t xml:space="preserve"> </w:t>
      </w:r>
      <w:r>
        <w:rPr>
          <w:color w:val="231F20"/>
          <w:sz w:val="16"/>
        </w:rPr>
        <w:t>collected</w:t>
      </w:r>
      <w:r>
        <w:rPr>
          <w:color w:val="231F20"/>
          <w:spacing w:val="-4"/>
          <w:sz w:val="16"/>
        </w:rPr>
        <w:t xml:space="preserve"> </w:t>
      </w:r>
      <w:r>
        <w:rPr>
          <w:color w:val="231F20"/>
          <w:sz w:val="16"/>
        </w:rPr>
        <w:t>after</w:t>
      </w:r>
      <w:r>
        <w:rPr>
          <w:color w:val="231F20"/>
          <w:spacing w:val="-4"/>
          <w:sz w:val="16"/>
        </w:rPr>
        <w:t xml:space="preserve"> </w:t>
      </w:r>
      <w:r>
        <w:rPr>
          <w:color w:val="231F20"/>
          <w:sz w:val="16"/>
        </w:rPr>
        <w:t>sonication</w:t>
      </w:r>
      <w:r>
        <w:rPr>
          <w:color w:val="231F20"/>
          <w:spacing w:val="-4"/>
          <w:sz w:val="16"/>
        </w:rPr>
        <w:t xml:space="preserve"> </w:t>
      </w:r>
      <w:r>
        <w:rPr>
          <w:color w:val="231F20"/>
          <w:sz w:val="16"/>
        </w:rPr>
        <w:t>(input</w:t>
      </w:r>
      <w:r>
        <w:rPr>
          <w:color w:val="231F20"/>
          <w:spacing w:val="40"/>
          <w:sz w:val="16"/>
        </w:rPr>
        <w:t xml:space="preserve"> </w:t>
      </w:r>
      <w:r>
        <w:rPr>
          <w:color w:val="231F20"/>
          <w:sz w:val="16"/>
        </w:rPr>
        <w:t>fraction). Primer sequences are included in Supplemental Data.</w:t>
      </w:r>
    </w:p>
    <w:p w14:paraId="65858D58" w14:textId="77777777" w:rsidR="00B322A0" w:rsidRDefault="00000000">
      <w:pPr>
        <w:spacing w:line="249" w:lineRule="auto"/>
        <w:ind w:left="103" w:right="38" w:firstLine="180"/>
        <w:jc w:val="both"/>
        <w:rPr>
          <w:sz w:val="16"/>
        </w:rPr>
      </w:pPr>
      <w:r>
        <w:rPr>
          <w:b/>
          <w:color w:val="231F20"/>
          <w:sz w:val="16"/>
        </w:rPr>
        <w:t xml:space="preserve">Mouse cDNA Microarray. </w:t>
      </w:r>
      <w:r>
        <w:rPr>
          <w:color w:val="231F20"/>
          <w:sz w:val="16"/>
        </w:rPr>
        <w:t>A cDNA microarray containing the National</w:t>
      </w:r>
      <w:r>
        <w:rPr>
          <w:color w:val="231F20"/>
          <w:spacing w:val="40"/>
          <w:sz w:val="16"/>
        </w:rPr>
        <w:t xml:space="preserve"> </w:t>
      </w:r>
      <w:r>
        <w:rPr>
          <w:color w:val="231F20"/>
          <w:sz w:val="16"/>
        </w:rPr>
        <w:t>Institute on Aging/NIH Mouse 15K cDNA clone set</w:t>
      </w:r>
      <w:r>
        <w:rPr>
          <w:color w:val="231F20"/>
          <w:sz w:val="16"/>
          <w:vertAlign w:val="superscript"/>
        </w:rPr>
        <w:t>6</w:t>
      </w:r>
      <w:r>
        <w:rPr>
          <w:color w:val="231F20"/>
          <w:sz w:val="16"/>
        </w:rPr>
        <w:t xml:space="preserve"> was used. Briefly, the</w:t>
      </w:r>
      <w:r>
        <w:rPr>
          <w:color w:val="231F20"/>
          <w:spacing w:val="40"/>
          <w:sz w:val="16"/>
        </w:rPr>
        <w:t xml:space="preserve"> </w:t>
      </w:r>
      <w:r>
        <w:rPr>
          <w:color w:val="231F20"/>
          <w:sz w:val="16"/>
        </w:rPr>
        <w:t xml:space="preserve">mouse cDNA microarray consist of </w:t>
      </w:r>
      <w:r>
        <w:rPr>
          <w:rFonts w:ascii="Verdana" w:hAnsi="Verdana"/>
          <w:color w:val="231F20"/>
          <w:sz w:val="16"/>
        </w:rPr>
        <w:t>~</w:t>
      </w:r>
      <w:r>
        <w:rPr>
          <w:color w:val="231F20"/>
          <w:sz w:val="16"/>
        </w:rPr>
        <w:t>15,000 unique cDNA clones (rearrayed</w:t>
      </w:r>
      <w:r>
        <w:rPr>
          <w:color w:val="231F20"/>
          <w:spacing w:val="40"/>
          <w:sz w:val="16"/>
        </w:rPr>
        <w:t xml:space="preserve"> </w:t>
      </w:r>
      <w:r>
        <w:rPr>
          <w:color w:val="231F20"/>
          <w:sz w:val="16"/>
        </w:rPr>
        <w:t>among 52,374 expressed sequence tags from pre- and peri-implantation em-</w:t>
      </w:r>
      <w:r>
        <w:rPr>
          <w:color w:val="231F20"/>
          <w:spacing w:val="40"/>
          <w:sz w:val="16"/>
        </w:rPr>
        <w:t xml:space="preserve"> </w:t>
      </w:r>
      <w:r>
        <w:rPr>
          <w:color w:val="231F20"/>
          <w:sz w:val="16"/>
        </w:rPr>
        <w:t>bryos,</w:t>
      </w:r>
      <w:r>
        <w:rPr>
          <w:color w:val="231F20"/>
          <w:spacing w:val="40"/>
          <w:sz w:val="16"/>
        </w:rPr>
        <w:t xml:space="preserve"> </w:t>
      </w:r>
      <w:r>
        <w:rPr>
          <w:color w:val="231F20"/>
          <w:sz w:val="16"/>
        </w:rPr>
        <w:t>E12.5</w:t>
      </w:r>
      <w:r>
        <w:rPr>
          <w:color w:val="231F20"/>
          <w:spacing w:val="40"/>
          <w:sz w:val="16"/>
        </w:rPr>
        <w:t xml:space="preserve"> </w:t>
      </w:r>
      <w:r>
        <w:rPr>
          <w:color w:val="231F20"/>
          <w:sz w:val="16"/>
        </w:rPr>
        <w:t>female</w:t>
      </w:r>
      <w:r>
        <w:rPr>
          <w:color w:val="231F20"/>
          <w:spacing w:val="40"/>
          <w:sz w:val="16"/>
        </w:rPr>
        <w:t xml:space="preserve"> </w:t>
      </w:r>
      <w:r>
        <w:rPr>
          <w:color w:val="231F20"/>
          <w:sz w:val="16"/>
        </w:rPr>
        <w:t>gonad/mesonephros,</w:t>
      </w:r>
      <w:r>
        <w:rPr>
          <w:color w:val="231F20"/>
          <w:spacing w:val="40"/>
          <w:sz w:val="16"/>
        </w:rPr>
        <w:t xml:space="preserve"> </w:t>
      </w:r>
      <w:r>
        <w:rPr>
          <w:color w:val="231F20"/>
          <w:sz w:val="16"/>
        </w:rPr>
        <w:t>and</w:t>
      </w:r>
      <w:r>
        <w:rPr>
          <w:color w:val="231F20"/>
          <w:spacing w:val="40"/>
          <w:sz w:val="16"/>
        </w:rPr>
        <w:t xml:space="preserve"> </w:t>
      </w:r>
      <w:r>
        <w:rPr>
          <w:color w:val="231F20"/>
          <w:sz w:val="16"/>
        </w:rPr>
        <w:t>newborn</w:t>
      </w:r>
      <w:r>
        <w:rPr>
          <w:color w:val="231F20"/>
          <w:spacing w:val="40"/>
          <w:sz w:val="16"/>
        </w:rPr>
        <w:t xml:space="preserve"> </w:t>
      </w:r>
      <w:r>
        <w:rPr>
          <w:color w:val="231F20"/>
          <w:sz w:val="16"/>
        </w:rPr>
        <w:t>ovary)</w:t>
      </w:r>
      <w:r>
        <w:rPr>
          <w:color w:val="231F20"/>
          <w:spacing w:val="40"/>
          <w:sz w:val="16"/>
        </w:rPr>
        <w:t xml:space="preserve"> </w:t>
      </w:r>
      <w:r>
        <w:rPr>
          <w:color w:val="231F20"/>
          <w:sz w:val="16"/>
        </w:rPr>
        <w:t>and</w:t>
      </w:r>
      <w:r>
        <w:rPr>
          <w:color w:val="231F20"/>
          <w:spacing w:val="40"/>
          <w:sz w:val="16"/>
        </w:rPr>
        <w:t xml:space="preserve"> </w:t>
      </w:r>
      <w:r>
        <w:rPr>
          <w:rFonts w:ascii="Lucida Sans Unicode" w:hAnsi="Lucida Sans Unicode"/>
          <w:color w:val="231F20"/>
          <w:spacing w:val="-4"/>
          <w:sz w:val="16"/>
        </w:rPr>
        <w:t>≤</w:t>
      </w:r>
      <w:r>
        <w:rPr>
          <w:color w:val="231F20"/>
          <w:spacing w:val="-4"/>
          <w:sz w:val="16"/>
        </w:rPr>
        <w:t>50%</w:t>
      </w:r>
    </w:p>
    <w:p w14:paraId="4F8C4A3A" w14:textId="77777777" w:rsidR="00B322A0" w:rsidRDefault="00000000">
      <w:pPr>
        <w:spacing w:line="152" w:lineRule="exact"/>
        <w:ind w:left="103"/>
        <w:jc w:val="both"/>
        <w:rPr>
          <w:sz w:val="16"/>
        </w:rPr>
      </w:pPr>
      <w:r>
        <w:rPr>
          <w:color w:val="231F20"/>
          <w:sz w:val="16"/>
        </w:rPr>
        <w:t>novel</w:t>
      </w:r>
      <w:r>
        <w:rPr>
          <w:color w:val="231F20"/>
          <w:spacing w:val="8"/>
          <w:sz w:val="16"/>
        </w:rPr>
        <w:t xml:space="preserve"> </w:t>
      </w:r>
      <w:r>
        <w:rPr>
          <w:color w:val="231F20"/>
          <w:sz w:val="16"/>
        </w:rPr>
        <w:t>genes</w:t>
      </w:r>
      <w:r>
        <w:rPr>
          <w:color w:val="231F20"/>
          <w:spacing w:val="8"/>
          <w:sz w:val="16"/>
        </w:rPr>
        <w:t xml:space="preserve"> </w:t>
      </w:r>
      <w:r>
        <w:rPr>
          <w:color w:val="231F20"/>
          <w:sz w:val="16"/>
        </w:rPr>
        <w:t>with</w:t>
      </w:r>
      <w:r>
        <w:rPr>
          <w:color w:val="231F20"/>
          <w:spacing w:val="8"/>
          <w:sz w:val="16"/>
        </w:rPr>
        <w:t xml:space="preserve"> </w:t>
      </w:r>
      <w:r>
        <w:rPr>
          <w:color w:val="231F20"/>
          <w:sz w:val="16"/>
        </w:rPr>
        <w:t>an</w:t>
      </w:r>
      <w:r>
        <w:rPr>
          <w:color w:val="231F20"/>
          <w:spacing w:val="8"/>
          <w:sz w:val="16"/>
        </w:rPr>
        <w:t xml:space="preserve"> </w:t>
      </w:r>
      <w:r>
        <w:rPr>
          <w:color w:val="231F20"/>
          <w:sz w:val="16"/>
        </w:rPr>
        <w:t>average</w:t>
      </w:r>
      <w:r>
        <w:rPr>
          <w:color w:val="231F20"/>
          <w:spacing w:val="8"/>
          <w:sz w:val="16"/>
        </w:rPr>
        <w:t xml:space="preserve"> </w:t>
      </w:r>
      <w:r>
        <w:rPr>
          <w:color w:val="231F20"/>
          <w:sz w:val="16"/>
        </w:rPr>
        <w:t>insert</w:t>
      </w:r>
      <w:r>
        <w:rPr>
          <w:color w:val="231F20"/>
          <w:spacing w:val="8"/>
          <w:sz w:val="16"/>
        </w:rPr>
        <w:t xml:space="preserve"> </w:t>
      </w:r>
      <w:r>
        <w:rPr>
          <w:color w:val="231F20"/>
          <w:sz w:val="16"/>
        </w:rPr>
        <w:t>size</w:t>
      </w:r>
      <w:r>
        <w:rPr>
          <w:color w:val="231F20"/>
          <w:spacing w:val="8"/>
          <w:sz w:val="16"/>
        </w:rPr>
        <w:t xml:space="preserve"> </w:t>
      </w:r>
      <w:r>
        <w:rPr>
          <w:color w:val="231F20"/>
          <w:sz w:val="16"/>
        </w:rPr>
        <w:t>of</w:t>
      </w:r>
      <w:r>
        <w:rPr>
          <w:color w:val="231F20"/>
          <w:spacing w:val="9"/>
          <w:sz w:val="16"/>
        </w:rPr>
        <w:t xml:space="preserve"> </w:t>
      </w:r>
      <w:r>
        <w:rPr>
          <w:rFonts w:ascii="Verdana"/>
          <w:color w:val="231F20"/>
          <w:sz w:val="16"/>
        </w:rPr>
        <w:t>~</w:t>
      </w:r>
      <w:r>
        <w:rPr>
          <w:color w:val="231F20"/>
          <w:sz w:val="16"/>
        </w:rPr>
        <w:t>1.5</w:t>
      </w:r>
      <w:r>
        <w:rPr>
          <w:color w:val="231F20"/>
          <w:spacing w:val="8"/>
          <w:sz w:val="16"/>
        </w:rPr>
        <w:t xml:space="preserve"> </w:t>
      </w:r>
      <w:r>
        <w:rPr>
          <w:color w:val="231F20"/>
          <w:sz w:val="16"/>
        </w:rPr>
        <w:t>kb</w:t>
      </w:r>
      <w:r>
        <w:rPr>
          <w:color w:val="231F20"/>
          <w:spacing w:val="9"/>
          <w:sz w:val="16"/>
        </w:rPr>
        <w:t xml:space="preserve"> </w:t>
      </w:r>
      <w:r>
        <w:rPr>
          <w:color w:val="231F20"/>
          <w:sz w:val="16"/>
        </w:rPr>
        <w:t>(20).</w:t>
      </w:r>
      <w:r>
        <w:rPr>
          <w:color w:val="231F20"/>
          <w:spacing w:val="8"/>
          <w:sz w:val="16"/>
        </w:rPr>
        <w:t xml:space="preserve"> </w:t>
      </w:r>
      <w:r>
        <w:rPr>
          <w:color w:val="231F20"/>
          <w:sz w:val="16"/>
        </w:rPr>
        <w:t>Slides</w:t>
      </w:r>
      <w:r>
        <w:rPr>
          <w:color w:val="231F20"/>
          <w:spacing w:val="8"/>
          <w:sz w:val="16"/>
        </w:rPr>
        <w:t xml:space="preserve"> </w:t>
      </w:r>
      <w:r>
        <w:rPr>
          <w:color w:val="231F20"/>
          <w:sz w:val="16"/>
        </w:rPr>
        <w:t>were</w:t>
      </w:r>
      <w:r>
        <w:rPr>
          <w:color w:val="231F20"/>
          <w:spacing w:val="8"/>
          <w:sz w:val="16"/>
        </w:rPr>
        <w:t xml:space="preserve"> </w:t>
      </w:r>
      <w:r>
        <w:rPr>
          <w:color w:val="231F20"/>
          <w:spacing w:val="-2"/>
          <w:sz w:val="16"/>
        </w:rPr>
        <w:t>scanned</w:t>
      </w:r>
    </w:p>
    <w:p w14:paraId="54086411" w14:textId="77777777" w:rsidR="00B322A0" w:rsidRDefault="00000000">
      <w:pPr>
        <w:spacing w:before="5" w:line="261" w:lineRule="auto"/>
        <w:ind w:left="103" w:right="38"/>
        <w:jc w:val="both"/>
        <w:rPr>
          <w:sz w:val="16"/>
        </w:rPr>
      </w:pPr>
      <w:r>
        <w:rPr>
          <w:color w:val="231F20"/>
          <w:sz w:val="16"/>
        </w:rPr>
        <w:t>for Cy3 and Cy5 fluorescence using Scanarray 5000 XL (GSI Lumonics,</w:t>
      </w:r>
      <w:r>
        <w:rPr>
          <w:color w:val="231F20"/>
          <w:spacing w:val="40"/>
          <w:sz w:val="16"/>
        </w:rPr>
        <w:t xml:space="preserve"> </w:t>
      </w:r>
      <w:r>
        <w:rPr>
          <w:color w:val="231F20"/>
          <w:sz w:val="16"/>
        </w:rPr>
        <w:t>Kanata, Ontario, Canada) and quantified using the GenePix Pro 4.0 software</w:t>
      </w:r>
      <w:r>
        <w:rPr>
          <w:color w:val="231F20"/>
          <w:spacing w:val="40"/>
          <w:sz w:val="16"/>
        </w:rPr>
        <w:t xml:space="preserve"> </w:t>
      </w:r>
      <w:r>
        <w:rPr>
          <w:color w:val="231F20"/>
          <w:sz w:val="16"/>
        </w:rPr>
        <w:t>(Axon Instruments Inc., Union City, CA). Genes were selected to be up-</w:t>
      </w:r>
      <w:r>
        <w:rPr>
          <w:color w:val="231F20"/>
          <w:spacing w:val="40"/>
          <w:sz w:val="16"/>
        </w:rPr>
        <w:t xml:space="preserve"> </w:t>
      </w:r>
      <w:r>
        <w:rPr>
          <w:color w:val="231F20"/>
          <w:sz w:val="16"/>
        </w:rPr>
        <w:t>regulated or down-regulated if the difference in ratio was at least 2-fold. For</w:t>
      </w:r>
      <w:r>
        <w:rPr>
          <w:color w:val="231F20"/>
          <w:spacing w:val="40"/>
          <w:sz w:val="16"/>
        </w:rPr>
        <w:t xml:space="preserve"> </w:t>
      </w:r>
      <w:r>
        <w:rPr>
          <w:color w:val="231F20"/>
          <w:sz w:val="16"/>
        </w:rPr>
        <w:t>clustering analysis, the SOTA clustering program</w:t>
      </w:r>
      <w:r>
        <w:rPr>
          <w:color w:val="231F20"/>
          <w:sz w:val="16"/>
          <w:vertAlign w:val="superscript"/>
        </w:rPr>
        <w:t>7</w:t>
      </w:r>
      <w:r>
        <w:rPr>
          <w:color w:val="231F20"/>
          <w:sz w:val="16"/>
        </w:rPr>
        <w:t xml:space="preserve"> was used, and trees were</w:t>
      </w:r>
      <w:r>
        <w:rPr>
          <w:color w:val="231F20"/>
          <w:spacing w:val="40"/>
          <w:sz w:val="16"/>
        </w:rPr>
        <w:t xml:space="preserve"> </w:t>
      </w:r>
      <w:r>
        <w:rPr>
          <w:color w:val="231F20"/>
          <w:sz w:val="16"/>
        </w:rPr>
        <w:t>viewed using the TreeView program.</w:t>
      </w:r>
    </w:p>
    <w:p w14:paraId="60F3C793" w14:textId="77777777" w:rsidR="00B322A0" w:rsidRDefault="00000000">
      <w:pPr>
        <w:spacing w:line="256" w:lineRule="auto"/>
        <w:ind w:left="103" w:right="38" w:firstLine="180"/>
        <w:jc w:val="both"/>
        <w:rPr>
          <w:sz w:val="16"/>
        </w:rPr>
      </w:pPr>
      <w:r>
        <w:rPr>
          <w:b/>
          <w:color w:val="231F20"/>
          <w:sz w:val="16"/>
        </w:rPr>
        <w:t>Semiquantitative</w:t>
      </w:r>
      <w:r>
        <w:rPr>
          <w:b/>
          <w:color w:val="231F20"/>
          <w:spacing w:val="-10"/>
          <w:sz w:val="16"/>
        </w:rPr>
        <w:t xml:space="preserve"> </w:t>
      </w:r>
      <w:r>
        <w:rPr>
          <w:b/>
          <w:color w:val="231F20"/>
          <w:sz w:val="16"/>
        </w:rPr>
        <w:t>Reverse</w:t>
      </w:r>
      <w:r>
        <w:rPr>
          <w:b/>
          <w:color w:val="231F20"/>
          <w:spacing w:val="-10"/>
          <w:sz w:val="16"/>
        </w:rPr>
        <w:t xml:space="preserve"> </w:t>
      </w:r>
      <w:r>
        <w:rPr>
          <w:b/>
          <w:color w:val="231F20"/>
          <w:sz w:val="16"/>
        </w:rPr>
        <w:t>Transcription-PCR</w:t>
      </w:r>
      <w:r>
        <w:rPr>
          <w:b/>
          <w:color w:val="231F20"/>
          <w:spacing w:val="-10"/>
          <w:sz w:val="16"/>
        </w:rPr>
        <w:t xml:space="preserve"> </w:t>
      </w:r>
      <w:r>
        <w:rPr>
          <w:b/>
          <w:color w:val="231F20"/>
          <w:sz w:val="16"/>
        </w:rPr>
        <w:t>Expression</w:t>
      </w:r>
      <w:r>
        <w:rPr>
          <w:b/>
          <w:color w:val="231F20"/>
          <w:spacing w:val="-10"/>
          <w:sz w:val="16"/>
        </w:rPr>
        <w:t xml:space="preserve"> </w:t>
      </w:r>
      <w:r>
        <w:rPr>
          <w:b/>
          <w:color w:val="231F20"/>
          <w:sz w:val="16"/>
        </w:rPr>
        <w:t>Analysis.</w:t>
      </w:r>
      <w:r>
        <w:rPr>
          <w:b/>
          <w:color w:val="231F20"/>
          <w:spacing w:val="26"/>
          <w:sz w:val="16"/>
        </w:rPr>
        <w:t xml:space="preserve"> </w:t>
      </w:r>
      <w:r>
        <w:rPr>
          <w:color w:val="231F20"/>
          <w:sz w:val="16"/>
        </w:rPr>
        <w:t>We</w:t>
      </w:r>
      <w:r>
        <w:rPr>
          <w:color w:val="231F20"/>
          <w:spacing w:val="40"/>
          <w:sz w:val="16"/>
        </w:rPr>
        <w:t xml:space="preserve"> </w:t>
      </w:r>
      <w:r>
        <w:rPr>
          <w:color w:val="231F20"/>
          <w:sz w:val="16"/>
        </w:rPr>
        <w:t xml:space="preserve">reverse-transcribed total RNA (2 </w:t>
      </w:r>
      <w:r>
        <w:rPr>
          <w:rFonts w:ascii="Verdana" w:hAnsi="Verdana"/>
          <w:color w:val="231F20"/>
          <w:sz w:val="16"/>
        </w:rPr>
        <w:t>µ</w:t>
      </w:r>
      <w:r>
        <w:rPr>
          <w:color w:val="231F20"/>
          <w:sz w:val="16"/>
        </w:rPr>
        <w:t>g) treated with DNase I (Ambion) using</w:t>
      </w:r>
      <w:r>
        <w:rPr>
          <w:color w:val="231F20"/>
          <w:spacing w:val="40"/>
          <w:sz w:val="16"/>
        </w:rPr>
        <w:t xml:space="preserve"> </w:t>
      </w:r>
      <w:r>
        <w:rPr>
          <w:color w:val="231F20"/>
          <w:sz w:val="16"/>
        </w:rPr>
        <w:t>oligo(dT)</w:t>
      </w:r>
      <w:r>
        <w:rPr>
          <w:color w:val="231F20"/>
          <w:sz w:val="16"/>
          <w:vertAlign w:val="subscript"/>
        </w:rPr>
        <w:t>12–18</w:t>
      </w:r>
      <w:r>
        <w:rPr>
          <w:color w:val="231F20"/>
          <w:sz w:val="16"/>
        </w:rPr>
        <w:t xml:space="preserve"> primer with Superscript II reverse transcriptase (Life Technol-</w:t>
      </w:r>
      <w:r>
        <w:rPr>
          <w:color w:val="231F20"/>
          <w:spacing w:val="40"/>
          <w:sz w:val="16"/>
        </w:rPr>
        <w:t xml:space="preserve"> </w:t>
      </w:r>
      <w:r>
        <w:rPr>
          <w:color w:val="231F20"/>
          <w:sz w:val="16"/>
        </w:rPr>
        <w:t>ogies, Inc.). We used 100 ng of cDNA for PCR amplification, and we</w:t>
      </w:r>
      <w:r>
        <w:rPr>
          <w:color w:val="231F20"/>
          <w:spacing w:val="40"/>
          <w:sz w:val="16"/>
        </w:rPr>
        <w:t xml:space="preserve"> </w:t>
      </w:r>
      <w:r>
        <w:rPr>
          <w:color w:val="231F20"/>
          <w:sz w:val="16"/>
        </w:rPr>
        <w:t>amplified all of the genes with multiple cycle numbers (20</w:t>
      </w:r>
      <w:r>
        <w:rPr>
          <w:color w:val="231F20"/>
          <w:spacing w:val="-10"/>
          <w:sz w:val="16"/>
        </w:rPr>
        <w:t xml:space="preserve"> </w:t>
      </w:r>
      <w:r>
        <w:rPr>
          <w:color w:val="231F20"/>
          <w:sz w:val="16"/>
        </w:rPr>
        <w:t>–35 cycles) to</w:t>
      </w:r>
      <w:r>
        <w:rPr>
          <w:color w:val="231F20"/>
          <w:spacing w:val="40"/>
          <w:sz w:val="16"/>
        </w:rPr>
        <w:t xml:space="preserve"> </w:t>
      </w:r>
      <w:r>
        <w:rPr>
          <w:color w:val="231F20"/>
          <w:sz w:val="16"/>
        </w:rPr>
        <w:t>determine</w:t>
      </w:r>
      <w:r>
        <w:rPr>
          <w:color w:val="231F20"/>
          <w:spacing w:val="-10"/>
          <w:sz w:val="16"/>
        </w:rPr>
        <w:t xml:space="preserve"> </w:t>
      </w:r>
      <w:r>
        <w:rPr>
          <w:color w:val="231F20"/>
          <w:sz w:val="16"/>
        </w:rPr>
        <w:t>the</w:t>
      </w:r>
      <w:r>
        <w:rPr>
          <w:color w:val="231F20"/>
          <w:spacing w:val="-10"/>
          <w:sz w:val="16"/>
        </w:rPr>
        <w:t xml:space="preserve"> </w:t>
      </w:r>
      <w:r>
        <w:rPr>
          <w:color w:val="231F20"/>
          <w:sz w:val="16"/>
        </w:rPr>
        <w:t>appropriate</w:t>
      </w:r>
      <w:r>
        <w:rPr>
          <w:color w:val="231F20"/>
          <w:spacing w:val="-10"/>
          <w:sz w:val="16"/>
        </w:rPr>
        <w:t xml:space="preserve"> </w:t>
      </w:r>
      <w:r>
        <w:rPr>
          <w:color w:val="231F20"/>
          <w:sz w:val="16"/>
        </w:rPr>
        <w:t>conditions</w:t>
      </w:r>
      <w:r>
        <w:rPr>
          <w:color w:val="231F20"/>
          <w:spacing w:val="-10"/>
          <w:sz w:val="16"/>
        </w:rPr>
        <w:t xml:space="preserve"> </w:t>
      </w:r>
      <w:r>
        <w:rPr>
          <w:color w:val="231F20"/>
          <w:sz w:val="16"/>
        </w:rPr>
        <w:t>for</w:t>
      </w:r>
      <w:r>
        <w:rPr>
          <w:color w:val="231F20"/>
          <w:spacing w:val="-10"/>
          <w:sz w:val="16"/>
        </w:rPr>
        <w:t xml:space="preserve"> </w:t>
      </w:r>
      <w:r>
        <w:rPr>
          <w:color w:val="231F20"/>
          <w:sz w:val="16"/>
        </w:rPr>
        <w:t>obtaining</w:t>
      </w:r>
      <w:r>
        <w:rPr>
          <w:color w:val="231F20"/>
          <w:spacing w:val="-10"/>
          <w:sz w:val="16"/>
        </w:rPr>
        <w:t xml:space="preserve"> </w:t>
      </w:r>
      <w:r>
        <w:rPr>
          <w:color w:val="231F20"/>
          <w:sz w:val="16"/>
        </w:rPr>
        <w:t>semiquantitative</w:t>
      </w:r>
      <w:r>
        <w:rPr>
          <w:color w:val="231F20"/>
          <w:spacing w:val="-10"/>
          <w:sz w:val="16"/>
        </w:rPr>
        <w:t xml:space="preserve"> </w:t>
      </w:r>
      <w:r>
        <w:rPr>
          <w:color w:val="231F20"/>
          <w:sz w:val="16"/>
        </w:rPr>
        <w:t>differences</w:t>
      </w:r>
      <w:r>
        <w:rPr>
          <w:color w:val="231F20"/>
          <w:spacing w:val="40"/>
          <w:sz w:val="16"/>
        </w:rPr>
        <w:t xml:space="preserve"> </w:t>
      </w:r>
      <w:r>
        <w:rPr>
          <w:color w:val="231F20"/>
          <w:sz w:val="16"/>
        </w:rPr>
        <w:t>in their expression levels. Reverse transcription-PCR primers were designed</w:t>
      </w:r>
      <w:r>
        <w:rPr>
          <w:color w:val="231F20"/>
          <w:spacing w:val="40"/>
          <w:sz w:val="16"/>
        </w:rPr>
        <w:t xml:space="preserve"> </w:t>
      </w:r>
      <w:r>
        <w:rPr>
          <w:color w:val="231F20"/>
          <w:sz w:val="16"/>
        </w:rPr>
        <w:t>between different exons to avoid any amplification of DNA. We also carried</w:t>
      </w:r>
      <w:r>
        <w:rPr>
          <w:color w:val="231F20"/>
          <w:spacing w:val="40"/>
          <w:sz w:val="16"/>
        </w:rPr>
        <w:t xml:space="preserve"> </w:t>
      </w:r>
      <w:r>
        <w:rPr>
          <w:color w:val="231F20"/>
          <w:sz w:val="16"/>
        </w:rPr>
        <w:t xml:space="preserve">out PCR with </w:t>
      </w:r>
      <w:r>
        <w:rPr>
          <w:rFonts w:ascii="Verdana" w:hAnsi="Verdana"/>
          <w:color w:val="231F20"/>
          <w:sz w:val="16"/>
        </w:rPr>
        <w:t>β</w:t>
      </w:r>
      <w:r>
        <w:rPr>
          <w:i/>
          <w:color w:val="231F20"/>
          <w:sz w:val="16"/>
        </w:rPr>
        <w:t xml:space="preserve">-actin </w:t>
      </w:r>
      <w:r>
        <w:rPr>
          <w:color w:val="231F20"/>
          <w:sz w:val="16"/>
        </w:rPr>
        <w:t>(25 and 28 cycles) to ensure cDNA quality and loading</w:t>
      </w:r>
      <w:r>
        <w:rPr>
          <w:color w:val="231F20"/>
          <w:spacing w:val="40"/>
          <w:sz w:val="16"/>
        </w:rPr>
        <w:t xml:space="preserve"> </w:t>
      </w:r>
      <w:r>
        <w:rPr>
          <w:color w:val="231F20"/>
          <w:sz w:val="16"/>
        </w:rPr>
        <w:t>accuracy. Primer sequences are included in Supplemental Data.</w:t>
      </w:r>
    </w:p>
    <w:p w14:paraId="033C45B9" w14:textId="77777777" w:rsidR="00B322A0" w:rsidRDefault="00000000">
      <w:pPr>
        <w:pStyle w:val="Textoindependiente"/>
        <w:spacing w:before="2"/>
        <w:ind w:left="0"/>
        <w:rPr>
          <w:sz w:val="15"/>
        </w:rPr>
      </w:pPr>
      <w:r>
        <w:rPr>
          <w:noProof/>
        </w:rPr>
        <mc:AlternateContent>
          <mc:Choice Requires="wps">
            <w:drawing>
              <wp:anchor distT="0" distB="0" distL="0" distR="0" simplePos="0" relativeHeight="487588864" behindDoc="1" locked="0" layoutInCell="1" allowOverlap="1" wp14:anchorId="7B1B9F35" wp14:editId="6DB79E80">
                <wp:simplePos x="0" y="0"/>
                <wp:positionH relativeFrom="page">
                  <wp:posOffset>446595</wp:posOffset>
                </wp:positionH>
                <wp:positionV relativeFrom="paragraph">
                  <wp:posOffset>126638</wp:posOffset>
                </wp:positionV>
                <wp:extent cx="1066800"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6800" cy="1270"/>
                        </a:xfrm>
                        <a:custGeom>
                          <a:avLst/>
                          <a:gdLst/>
                          <a:ahLst/>
                          <a:cxnLst/>
                          <a:rect l="l" t="t" r="r" b="b"/>
                          <a:pathLst>
                            <a:path w="1066800">
                              <a:moveTo>
                                <a:pt x="0" y="0"/>
                              </a:moveTo>
                              <a:lnTo>
                                <a:pt x="1066800" y="0"/>
                              </a:lnTo>
                            </a:path>
                          </a:pathLst>
                        </a:custGeom>
                        <a:ln w="3784">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08292F0E" id="Graphic 7" o:spid="_x0000_s1026" style="position:absolute;margin-left:35.15pt;margin-top:9.95pt;width:84pt;height:.1pt;z-index:-15727616;visibility:visible;mso-wrap-style:square;mso-wrap-distance-left:0;mso-wrap-distance-top:0;mso-wrap-distance-right:0;mso-wrap-distance-bottom:0;mso-position-horizontal:absolute;mso-position-horizontal-relative:page;mso-position-vertical:absolute;mso-position-vertical-relative:text;v-text-anchor:top" coordsize="10668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" path="m,l1066800,e" filled="f" strokecolor="#231f20" strokeweight=".1051mm">
                <v:path arrowok="t"/>
                <w10:wrap type="topAndBottom" anchorx="page"/>
              </v:shape>
            </w:pict>
          </mc:Fallback>
        </mc:AlternateContent>
      </w:r>
    </w:p>
    <w:p w14:paraId="3A4B6C3A" w14:textId="77777777" w:rsidR="00B322A0" w:rsidRDefault="00000000">
      <w:pPr>
        <w:spacing w:before="83" w:line="160" w:lineRule="exact"/>
        <w:ind w:left="283"/>
        <w:rPr>
          <w:sz w:val="14"/>
        </w:rPr>
      </w:pPr>
      <w:r>
        <w:rPr>
          <w:color w:val="231F20"/>
          <w:w w:val="105"/>
          <w:sz w:val="14"/>
          <w:vertAlign w:val="superscript"/>
        </w:rPr>
        <w:t>6</w:t>
      </w:r>
      <w:r>
        <w:rPr>
          <w:color w:val="231F20"/>
          <w:spacing w:val="-10"/>
          <w:w w:val="105"/>
          <w:sz w:val="14"/>
        </w:rPr>
        <w:t xml:space="preserve"> </w:t>
      </w:r>
      <w:r>
        <w:rPr>
          <w:color w:val="231F20"/>
          <w:w w:val="105"/>
          <w:sz w:val="14"/>
        </w:rPr>
        <w:t>Internet</w:t>
      </w:r>
      <w:r>
        <w:rPr>
          <w:color w:val="231F20"/>
          <w:spacing w:val="-7"/>
          <w:w w:val="105"/>
          <w:sz w:val="14"/>
        </w:rPr>
        <w:t xml:space="preserve"> </w:t>
      </w:r>
      <w:r>
        <w:rPr>
          <w:color w:val="231F20"/>
          <w:w w:val="105"/>
          <w:sz w:val="14"/>
        </w:rPr>
        <w:t>address:</w:t>
      </w:r>
      <w:r>
        <w:rPr>
          <w:color w:val="231F20"/>
          <w:spacing w:val="-4"/>
          <w:w w:val="105"/>
          <w:sz w:val="14"/>
        </w:rPr>
        <w:t xml:space="preserve"> </w:t>
      </w:r>
      <w:hyperlink r:id="rId15">
        <w:r>
          <w:rPr>
            <w:color w:val="231F20"/>
            <w:spacing w:val="-2"/>
            <w:w w:val="105"/>
            <w:sz w:val="14"/>
          </w:rPr>
          <w:t>http://lgsun.grc.nia.nih.gov/.</w:t>
        </w:r>
      </w:hyperlink>
    </w:p>
    <w:p w14:paraId="7A83B261" w14:textId="77777777" w:rsidR="00B322A0" w:rsidRDefault="00000000">
      <w:pPr>
        <w:spacing w:line="160" w:lineRule="exact"/>
        <w:ind w:left="283"/>
        <w:rPr>
          <w:sz w:val="14"/>
        </w:rPr>
      </w:pPr>
      <w:r>
        <w:rPr>
          <w:color w:val="231F20"/>
          <w:w w:val="105"/>
          <w:sz w:val="14"/>
          <w:vertAlign w:val="superscript"/>
        </w:rPr>
        <w:t>7</w:t>
      </w:r>
      <w:r>
        <w:rPr>
          <w:color w:val="231F20"/>
          <w:spacing w:val="-10"/>
          <w:w w:val="105"/>
          <w:sz w:val="14"/>
        </w:rPr>
        <w:t xml:space="preserve"> </w:t>
      </w:r>
      <w:r>
        <w:rPr>
          <w:color w:val="231F20"/>
          <w:w w:val="105"/>
          <w:sz w:val="14"/>
        </w:rPr>
        <w:t>Internet</w:t>
      </w:r>
      <w:r>
        <w:rPr>
          <w:color w:val="231F20"/>
          <w:spacing w:val="-7"/>
          <w:w w:val="105"/>
          <w:sz w:val="14"/>
        </w:rPr>
        <w:t xml:space="preserve"> </w:t>
      </w:r>
      <w:r>
        <w:rPr>
          <w:color w:val="231F20"/>
          <w:w w:val="105"/>
          <w:sz w:val="14"/>
        </w:rPr>
        <w:t>address:</w:t>
      </w:r>
      <w:r>
        <w:rPr>
          <w:color w:val="231F20"/>
          <w:spacing w:val="-4"/>
          <w:w w:val="105"/>
          <w:sz w:val="14"/>
        </w:rPr>
        <w:t xml:space="preserve"> </w:t>
      </w:r>
      <w:hyperlink r:id="rId16">
        <w:r>
          <w:rPr>
            <w:color w:val="231F20"/>
            <w:spacing w:val="-2"/>
            <w:w w:val="105"/>
            <w:sz w:val="14"/>
          </w:rPr>
          <w:t>http://bioinfo.cnio.es/cgibin/tools/clustering/sotarray.</w:t>
        </w:r>
      </w:hyperlink>
    </w:p>
    <w:p w14:paraId="295F24C2" w14:textId="77777777" w:rsidR="00B322A0" w:rsidRDefault="00000000">
      <w:pPr>
        <w:spacing w:before="94" w:line="259" w:lineRule="auto"/>
        <w:ind w:left="103" w:right="114" w:firstLine="180"/>
        <w:jc w:val="both"/>
        <w:rPr>
          <w:sz w:val="16"/>
        </w:rPr>
      </w:pPr>
      <w:r>
        <w:br w:type="column"/>
      </w:r>
      <w:r>
        <w:rPr>
          <w:b/>
          <w:color w:val="231F20"/>
          <w:sz w:val="16"/>
        </w:rPr>
        <w:t>Western</w:t>
      </w:r>
      <w:r>
        <w:rPr>
          <w:b/>
          <w:color w:val="231F20"/>
          <w:spacing w:val="-6"/>
          <w:sz w:val="16"/>
        </w:rPr>
        <w:t xml:space="preserve"> </w:t>
      </w:r>
      <w:r>
        <w:rPr>
          <w:b/>
          <w:color w:val="231F20"/>
          <w:sz w:val="16"/>
        </w:rPr>
        <w:t>Blot.</w:t>
      </w:r>
      <w:r>
        <w:rPr>
          <w:b/>
          <w:color w:val="231F20"/>
          <w:spacing w:val="33"/>
          <w:sz w:val="16"/>
        </w:rPr>
        <w:t xml:space="preserve"> </w:t>
      </w:r>
      <w:r>
        <w:rPr>
          <w:color w:val="231F20"/>
          <w:sz w:val="16"/>
        </w:rPr>
        <w:t>Cells</w:t>
      </w:r>
      <w:r>
        <w:rPr>
          <w:color w:val="231F20"/>
          <w:spacing w:val="-6"/>
          <w:sz w:val="16"/>
        </w:rPr>
        <w:t xml:space="preserve"> </w:t>
      </w:r>
      <w:r>
        <w:rPr>
          <w:color w:val="231F20"/>
          <w:sz w:val="16"/>
        </w:rPr>
        <w:t>were</w:t>
      </w:r>
      <w:r>
        <w:rPr>
          <w:color w:val="231F20"/>
          <w:spacing w:val="-6"/>
          <w:sz w:val="16"/>
        </w:rPr>
        <w:t xml:space="preserve"> </w:t>
      </w:r>
      <w:r>
        <w:rPr>
          <w:color w:val="231F20"/>
          <w:sz w:val="16"/>
        </w:rPr>
        <w:t>harvested</w:t>
      </w:r>
      <w:r>
        <w:rPr>
          <w:color w:val="231F20"/>
          <w:spacing w:val="-6"/>
          <w:sz w:val="16"/>
        </w:rPr>
        <w:t xml:space="preserve"> </w:t>
      </w:r>
      <w:r>
        <w:rPr>
          <w:color w:val="231F20"/>
          <w:sz w:val="16"/>
        </w:rPr>
        <w:t>by</w:t>
      </w:r>
      <w:r>
        <w:rPr>
          <w:color w:val="231F20"/>
          <w:spacing w:val="-6"/>
          <w:sz w:val="16"/>
        </w:rPr>
        <w:t xml:space="preserve"> </w:t>
      </w:r>
      <w:r>
        <w:rPr>
          <w:color w:val="231F20"/>
          <w:sz w:val="16"/>
        </w:rPr>
        <w:t>centrifugation,</w:t>
      </w:r>
      <w:r>
        <w:rPr>
          <w:color w:val="231F20"/>
          <w:spacing w:val="-6"/>
          <w:sz w:val="16"/>
        </w:rPr>
        <w:t xml:space="preserve"> </w:t>
      </w:r>
      <w:r>
        <w:rPr>
          <w:color w:val="231F20"/>
          <w:sz w:val="16"/>
        </w:rPr>
        <w:t>and</w:t>
      </w:r>
      <w:r>
        <w:rPr>
          <w:color w:val="231F20"/>
          <w:spacing w:val="-6"/>
          <w:sz w:val="16"/>
        </w:rPr>
        <w:t xml:space="preserve"> </w:t>
      </w:r>
      <w:r>
        <w:rPr>
          <w:color w:val="231F20"/>
          <w:sz w:val="16"/>
        </w:rPr>
        <w:t>cell</w:t>
      </w:r>
      <w:r>
        <w:rPr>
          <w:color w:val="231F20"/>
          <w:spacing w:val="-6"/>
          <w:sz w:val="16"/>
        </w:rPr>
        <w:t xml:space="preserve"> </w:t>
      </w:r>
      <w:r>
        <w:rPr>
          <w:color w:val="231F20"/>
          <w:sz w:val="16"/>
        </w:rPr>
        <w:t>pellets</w:t>
      </w:r>
      <w:r>
        <w:rPr>
          <w:color w:val="231F20"/>
          <w:spacing w:val="-6"/>
          <w:sz w:val="16"/>
        </w:rPr>
        <w:t xml:space="preserve"> </w:t>
      </w:r>
      <w:r>
        <w:rPr>
          <w:color w:val="231F20"/>
          <w:sz w:val="16"/>
        </w:rPr>
        <w:t>were</w:t>
      </w:r>
      <w:r>
        <w:rPr>
          <w:color w:val="231F20"/>
          <w:spacing w:val="40"/>
          <w:sz w:val="16"/>
        </w:rPr>
        <w:t xml:space="preserve"> </w:t>
      </w:r>
      <w:r>
        <w:rPr>
          <w:color w:val="231F20"/>
          <w:sz w:val="16"/>
        </w:rPr>
        <w:t>resuspended in ice-cold buffer [50 m</w:t>
      </w:r>
      <w:r>
        <w:rPr>
          <w:color w:val="231F20"/>
          <w:sz w:val="12"/>
        </w:rPr>
        <w:t xml:space="preserve">M </w:t>
      </w:r>
      <w:r>
        <w:rPr>
          <w:color w:val="231F20"/>
          <w:sz w:val="16"/>
        </w:rPr>
        <w:t>Tris-HCl (pH 8), 150 m</w:t>
      </w:r>
      <w:r>
        <w:rPr>
          <w:color w:val="231F20"/>
          <w:sz w:val="12"/>
        </w:rPr>
        <w:t xml:space="preserve">M </w:t>
      </w:r>
      <w:r>
        <w:rPr>
          <w:color w:val="231F20"/>
          <w:sz w:val="16"/>
        </w:rPr>
        <w:t>NaCl, 1%</w:t>
      </w:r>
      <w:r>
        <w:rPr>
          <w:color w:val="231F20"/>
          <w:spacing w:val="40"/>
          <w:sz w:val="16"/>
        </w:rPr>
        <w:t xml:space="preserve"> </w:t>
      </w:r>
      <w:r>
        <w:rPr>
          <w:color w:val="231F20"/>
          <w:sz w:val="16"/>
        </w:rPr>
        <w:t>NP40,</w:t>
      </w:r>
      <w:r>
        <w:rPr>
          <w:color w:val="231F20"/>
          <w:spacing w:val="40"/>
          <w:sz w:val="16"/>
        </w:rPr>
        <w:t xml:space="preserve"> </w:t>
      </w:r>
      <w:r>
        <w:rPr>
          <w:color w:val="231F20"/>
          <w:sz w:val="16"/>
        </w:rPr>
        <w:t>0.5%</w:t>
      </w:r>
      <w:r>
        <w:rPr>
          <w:color w:val="231F20"/>
          <w:spacing w:val="40"/>
          <w:sz w:val="16"/>
        </w:rPr>
        <w:t xml:space="preserve"> </w:t>
      </w:r>
      <w:r>
        <w:rPr>
          <w:color w:val="231F20"/>
          <w:sz w:val="16"/>
        </w:rPr>
        <w:t>sodium</w:t>
      </w:r>
      <w:r>
        <w:rPr>
          <w:color w:val="231F20"/>
          <w:spacing w:val="40"/>
          <w:sz w:val="16"/>
        </w:rPr>
        <w:t xml:space="preserve"> </w:t>
      </w:r>
      <w:r>
        <w:rPr>
          <w:color w:val="231F20"/>
          <w:sz w:val="16"/>
        </w:rPr>
        <w:t>deoxycholate,</w:t>
      </w:r>
      <w:r>
        <w:rPr>
          <w:color w:val="231F20"/>
          <w:spacing w:val="40"/>
          <w:sz w:val="16"/>
        </w:rPr>
        <w:t xml:space="preserve"> </w:t>
      </w:r>
      <w:r>
        <w:rPr>
          <w:color w:val="231F20"/>
          <w:sz w:val="16"/>
        </w:rPr>
        <w:t>and</w:t>
      </w:r>
      <w:r>
        <w:rPr>
          <w:color w:val="231F20"/>
          <w:spacing w:val="40"/>
          <w:sz w:val="16"/>
        </w:rPr>
        <w:t xml:space="preserve"> </w:t>
      </w:r>
      <w:r>
        <w:rPr>
          <w:color w:val="231F20"/>
          <w:sz w:val="16"/>
        </w:rPr>
        <w:t>0.1%</w:t>
      </w:r>
      <w:r>
        <w:rPr>
          <w:color w:val="231F20"/>
          <w:spacing w:val="40"/>
          <w:sz w:val="16"/>
        </w:rPr>
        <w:t xml:space="preserve"> </w:t>
      </w:r>
      <w:r>
        <w:rPr>
          <w:color w:val="231F20"/>
          <w:sz w:val="16"/>
        </w:rPr>
        <w:t>SDS]</w:t>
      </w:r>
      <w:r>
        <w:rPr>
          <w:color w:val="231F20"/>
          <w:spacing w:val="40"/>
          <w:sz w:val="16"/>
        </w:rPr>
        <w:t xml:space="preserve"> </w:t>
      </w:r>
      <w:r>
        <w:rPr>
          <w:color w:val="231F20"/>
          <w:sz w:val="16"/>
        </w:rPr>
        <w:t>with</w:t>
      </w:r>
      <w:r>
        <w:rPr>
          <w:color w:val="231F20"/>
          <w:spacing w:val="40"/>
          <w:sz w:val="16"/>
        </w:rPr>
        <w:t xml:space="preserve"> </w:t>
      </w:r>
      <w:r>
        <w:rPr>
          <w:color w:val="231F20"/>
          <w:sz w:val="16"/>
        </w:rPr>
        <w:t>protease</w:t>
      </w:r>
      <w:r>
        <w:rPr>
          <w:color w:val="231F20"/>
          <w:spacing w:val="40"/>
          <w:sz w:val="16"/>
        </w:rPr>
        <w:t xml:space="preserve"> </w:t>
      </w:r>
      <w:r>
        <w:rPr>
          <w:color w:val="231F20"/>
          <w:sz w:val="16"/>
        </w:rPr>
        <w:t>inhibi-</w:t>
      </w:r>
      <w:r>
        <w:rPr>
          <w:color w:val="231F20"/>
          <w:spacing w:val="40"/>
          <w:sz w:val="16"/>
        </w:rPr>
        <w:t xml:space="preserve"> </w:t>
      </w:r>
      <w:r>
        <w:rPr>
          <w:color w:val="231F20"/>
          <w:sz w:val="16"/>
        </w:rPr>
        <w:t>tors (phenylmethylsulfonyl fluoride, leupeptin, aprotinin, and pepstatin) and</w:t>
      </w:r>
      <w:r>
        <w:rPr>
          <w:color w:val="231F20"/>
          <w:spacing w:val="40"/>
          <w:sz w:val="16"/>
        </w:rPr>
        <w:t xml:space="preserve"> </w:t>
      </w:r>
      <w:r>
        <w:rPr>
          <w:color w:val="231F20"/>
          <w:sz w:val="16"/>
        </w:rPr>
        <w:t xml:space="preserve">incubated on ice for 5 min. One hundred </w:t>
      </w:r>
      <w:r>
        <w:rPr>
          <w:rFonts w:ascii="Verdana" w:hAnsi="Verdana"/>
          <w:color w:val="231F20"/>
          <w:sz w:val="16"/>
        </w:rPr>
        <w:t>µ</w:t>
      </w:r>
      <w:r>
        <w:rPr>
          <w:color w:val="231F20"/>
          <w:sz w:val="16"/>
        </w:rPr>
        <w:t>g of total cellular extract was</w:t>
      </w:r>
      <w:r>
        <w:rPr>
          <w:color w:val="231F20"/>
          <w:spacing w:val="40"/>
          <w:sz w:val="16"/>
        </w:rPr>
        <w:t xml:space="preserve"> </w:t>
      </w:r>
      <w:r>
        <w:rPr>
          <w:color w:val="231F20"/>
          <w:sz w:val="16"/>
        </w:rPr>
        <w:t>fractionated</w:t>
      </w:r>
      <w:r>
        <w:rPr>
          <w:color w:val="231F20"/>
          <w:spacing w:val="-6"/>
          <w:sz w:val="16"/>
        </w:rPr>
        <w:t xml:space="preserve"> </w:t>
      </w:r>
      <w:r>
        <w:rPr>
          <w:color w:val="231F20"/>
          <w:sz w:val="16"/>
        </w:rPr>
        <w:t>on</w:t>
      </w:r>
      <w:r>
        <w:rPr>
          <w:color w:val="231F20"/>
          <w:spacing w:val="-6"/>
          <w:sz w:val="16"/>
        </w:rPr>
        <w:t xml:space="preserve"> </w:t>
      </w:r>
      <w:r>
        <w:rPr>
          <w:color w:val="231F20"/>
          <w:sz w:val="16"/>
        </w:rPr>
        <w:t>a</w:t>
      </w:r>
      <w:r>
        <w:rPr>
          <w:color w:val="231F20"/>
          <w:spacing w:val="-6"/>
          <w:sz w:val="16"/>
        </w:rPr>
        <w:t xml:space="preserve"> </w:t>
      </w:r>
      <w:r>
        <w:rPr>
          <w:color w:val="231F20"/>
          <w:sz w:val="16"/>
        </w:rPr>
        <w:t>10%</w:t>
      </w:r>
      <w:r>
        <w:rPr>
          <w:color w:val="231F20"/>
          <w:spacing w:val="-6"/>
          <w:sz w:val="16"/>
        </w:rPr>
        <w:t xml:space="preserve"> </w:t>
      </w:r>
      <w:r>
        <w:rPr>
          <w:color w:val="231F20"/>
          <w:sz w:val="16"/>
        </w:rPr>
        <w:t>SDS-PAGE</w:t>
      </w:r>
      <w:r>
        <w:rPr>
          <w:color w:val="231F20"/>
          <w:spacing w:val="-6"/>
          <w:sz w:val="16"/>
        </w:rPr>
        <w:t xml:space="preserve"> </w:t>
      </w:r>
      <w:r>
        <w:rPr>
          <w:color w:val="231F20"/>
          <w:sz w:val="16"/>
        </w:rPr>
        <w:t>gel,</w:t>
      </w:r>
      <w:r>
        <w:rPr>
          <w:color w:val="231F20"/>
          <w:spacing w:val="-6"/>
          <w:sz w:val="16"/>
        </w:rPr>
        <w:t xml:space="preserve"> </w:t>
      </w:r>
      <w:r>
        <w:rPr>
          <w:color w:val="231F20"/>
          <w:sz w:val="16"/>
        </w:rPr>
        <w:t>transferred</w:t>
      </w:r>
      <w:r>
        <w:rPr>
          <w:color w:val="231F20"/>
          <w:spacing w:val="-6"/>
          <w:sz w:val="16"/>
        </w:rPr>
        <w:t xml:space="preserve"> </w:t>
      </w:r>
      <w:r>
        <w:rPr>
          <w:color w:val="231F20"/>
          <w:sz w:val="16"/>
        </w:rPr>
        <w:t>to</w:t>
      </w:r>
      <w:r>
        <w:rPr>
          <w:color w:val="231F20"/>
          <w:spacing w:val="-6"/>
          <w:sz w:val="16"/>
        </w:rPr>
        <w:t xml:space="preserve"> </w:t>
      </w:r>
      <w:r>
        <w:rPr>
          <w:color w:val="231F20"/>
          <w:sz w:val="16"/>
        </w:rPr>
        <w:t>polyvinylidene</w:t>
      </w:r>
      <w:r>
        <w:rPr>
          <w:color w:val="231F20"/>
          <w:spacing w:val="-6"/>
          <w:sz w:val="16"/>
        </w:rPr>
        <w:t xml:space="preserve"> </w:t>
      </w:r>
      <w:r>
        <w:rPr>
          <w:color w:val="231F20"/>
          <w:sz w:val="16"/>
        </w:rPr>
        <w:t>difluoride</w:t>
      </w:r>
      <w:r>
        <w:rPr>
          <w:color w:val="231F20"/>
          <w:spacing w:val="40"/>
          <w:sz w:val="16"/>
        </w:rPr>
        <w:t xml:space="preserve"> </w:t>
      </w:r>
      <w:r>
        <w:rPr>
          <w:color w:val="231F20"/>
          <w:sz w:val="16"/>
        </w:rPr>
        <w:t>membrane (phenylmethylsulfonyl fluoride; Immobilon-P; Millipore), blocked</w:t>
      </w:r>
      <w:r>
        <w:rPr>
          <w:color w:val="231F20"/>
          <w:spacing w:val="40"/>
          <w:sz w:val="16"/>
        </w:rPr>
        <w:t xml:space="preserve"> </w:t>
      </w:r>
      <w:r>
        <w:rPr>
          <w:color w:val="231F20"/>
          <w:sz w:val="16"/>
        </w:rPr>
        <w:t>in 10% milk in Tris buffered saline (pH 7.5) with 0.1% Tween 20 and</w:t>
      </w:r>
      <w:r>
        <w:rPr>
          <w:color w:val="231F20"/>
          <w:spacing w:val="40"/>
          <w:sz w:val="16"/>
        </w:rPr>
        <w:t xml:space="preserve"> </w:t>
      </w:r>
      <w:r>
        <w:rPr>
          <w:color w:val="231F20"/>
          <w:sz w:val="16"/>
        </w:rPr>
        <w:t>immunoprobed with Dnmt1 (1:500), Dnmt3a (1:1000), and Dnmt3b (1:1000)</w:t>
      </w:r>
      <w:r>
        <w:rPr>
          <w:color w:val="231F20"/>
          <w:spacing w:val="40"/>
          <w:sz w:val="16"/>
        </w:rPr>
        <w:t xml:space="preserve"> </w:t>
      </w:r>
      <w:r>
        <w:rPr>
          <w:color w:val="231F20"/>
          <w:sz w:val="16"/>
        </w:rPr>
        <w:t>antibodies (Abcam, Cambridge, United Kingdom). Horseradish peroxidase-</w:t>
      </w:r>
      <w:r>
        <w:rPr>
          <w:color w:val="231F20"/>
          <w:spacing w:val="40"/>
          <w:sz w:val="16"/>
        </w:rPr>
        <w:t xml:space="preserve"> </w:t>
      </w:r>
      <w:r>
        <w:rPr>
          <w:color w:val="231F20"/>
          <w:sz w:val="16"/>
        </w:rPr>
        <w:t>conjugated</w:t>
      </w:r>
      <w:r>
        <w:rPr>
          <w:color w:val="231F20"/>
          <w:spacing w:val="-2"/>
          <w:sz w:val="16"/>
        </w:rPr>
        <w:t xml:space="preserve"> </w:t>
      </w:r>
      <w:r>
        <w:rPr>
          <w:color w:val="231F20"/>
          <w:sz w:val="16"/>
        </w:rPr>
        <w:t>antirabbit</w:t>
      </w:r>
      <w:r>
        <w:rPr>
          <w:color w:val="231F20"/>
          <w:spacing w:val="-2"/>
          <w:sz w:val="16"/>
        </w:rPr>
        <w:t xml:space="preserve"> </w:t>
      </w:r>
      <w:r>
        <w:rPr>
          <w:color w:val="231F20"/>
          <w:sz w:val="16"/>
        </w:rPr>
        <w:t>IgG</w:t>
      </w:r>
      <w:r>
        <w:rPr>
          <w:color w:val="231F20"/>
          <w:spacing w:val="-2"/>
          <w:sz w:val="16"/>
        </w:rPr>
        <w:t xml:space="preserve"> </w:t>
      </w:r>
      <w:r>
        <w:rPr>
          <w:color w:val="231F20"/>
          <w:sz w:val="16"/>
        </w:rPr>
        <w:t>(Amersham,</w:t>
      </w:r>
      <w:r>
        <w:rPr>
          <w:color w:val="231F20"/>
          <w:spacing w:val="-2"/>
          <w:sz w:val="16"/>
        </w:rPr>
        <w:t xml:space="preserve"> </w:t>
      </w:r>
      <w:r>
        <w:rPr>
          <w:color w:val="231F20"/>
          <w:sz w:val="16"/>
        </w:rPr>
        <w:t>Buckinghamshire,</w:t>
      </w:r>
      <w:r>
        <w:rPr>
          <w:color w:val="231F20"/>
          <w:spacing w:val="-2"/>
          <w:sz w:val="16"/>
        </w:rPr>
        <w:t xml:space="preserve"> </w:t>
      </w:r>
      <w:r>
        <w:rPr>
          <w:color w:val="231F20"/>
          <w:sz w:val="16"/>
        </w:rPr>
        <w:t>United</w:t>
      </w:r>
      <w:r>
        <w:rPr>
          <w:color w:val="231F20"/>
          <w:spacing w:val="-2"/>
          <w:sz w:val="16"/>
        </w:rPr>
        <w:t xml:space="preserve"> </w:t>
      </w:r>
      <w:r>
        <w:rPr>
          <w:color w:val="231F20"/>
          <w:sz w:val="16"/>
        </w:rPr>
        <w:t>Kingdom)</w:t>
      </w:r>
      <w:r>
        <w:rPr>
          <w:color w:val="231F20"/>
          <w:spacing w:val="-2"/>
          <w:sz w:val="16"/>
        </w:rPr>
        <w:t xml:space="preserve"> </w:t>
      </w:r>
      <w:r>
        <w:rPr>
          <w:color w:val="231F20"/>
          <w:sz w:val="16"/>
        </w:rPr>
        <w:t>at</w:t>
      </w:r>
      <w:r>
        <w:rPr>
          <w:color w:val="231F20"/>
          <w:spacing w:val="40"/>
          <w:sz w:val="16"/>
        </w:rPr>
        <w:t xml:space="preserve"> </w:t>
      </w:r>
      <w:r>
        <w:rPr>
          <w:color w:val="231F20"/>
          <w:sz w:val="16"/>
        </w:rPr>
        <w:t>a dilution 1:3000 in [Tris buffered saline (pH 7.5) with 0.1% Tween 20] was</w:t>
      </w:r>
      <w:r>
        <w:rPr>
          <w:color w:val="231F20"/>
          <w:spacing w:val="40"/>
          <w:sz w:val="16"/>
        </w:rPr>
        <w:t xml:space="preserve"> </w:t>
      </w:r>
      <w:r>
        <w:rPr>
          <w:color w:val="231F20"/>
          <w:sz w:val="16"/>
        </w:rPr>
        <w:t xml:space="preserve">used as the secondary antibody and </w:t>
      </w:r>
      <w:r>
        <w:rPr>
          <w:rFonts w:ascii="Verdana" w:hAnsi="Verdana"/>
          <w:color w:val="231F20"/>
          <w:sz w:val="16"/>
        </w:rPr>
        <w:t>β</w:t>
      </w:r>
      <w:r>
        <w:rPr>
          <w:color w:val="231F20"/>
          <w:sz w:val="16"/>
        </w:rPr>
        <w:t>-actin (Sigma) as loading control. The</w:t>
      </w:r>
      <w:r>
        <w:rPr>
          <w:color w:val="231F20"/>
          <w:spacing w:val="40"/>
          <w:sz w:val="16"/>
        </w:rPr>
        <w:t xml:space="preserve"> </w:t>
      </w:r>
      <w:r>
        <w:rPr>
          <w:color w:val="231F20"/>
          <w:sz w:val="16"/>
        </w:rPr>
        <w:t>signals</w:t>
      </w:r>
      <w:r>
        <w:rPr>
          <w:color w:val="231F20"/>
          <w:spacing w:val="-2"/>
          <w:sz w:val="16"/>
        </w:rPr>
        <w:t xml:space="preserve"> </w:t>
      </w:r>
      <w:r>
        <w:rPr>
          <w:color w:val="231F20"/>
          <w:sz w:val="16"/>
        </w:rPr>
        <w:t>were</w:t>
      </w:r>
      <w:r>
        <w:rPr>
          <w:color w:val="231F20"/>
          <w:spacing w:val="-2"/>
          <w:sz w:val="16"/>
        </w:rPr>
        <w:t xml:space="preserve"> </w:t>
      </w:r>
      <w:r>
        <w:rPr>
          <w:color w:val="231F20"/>
          <w:sz w:val="16"/>
        </w:rPr>
        <w:t>detected</w:t>
      </w:r>
      <w:r>
        <w:rPr>
          <w:color w:val="231F20"/>
          <w:spacing w:val="-2"/>
          <w:sz w:val="16"/>
        </w:rPr>
        <w:t xml:space="preserve"> </w:t>
      </w:r>
      <w:r>
        <w:rPr>
          <w:color w:val="231F20"/>
          <w:sz w:val="16"/>
        </w:rPr>
        <w:t>with</w:t>
      </w:r>
      <w:r>
        <w:rPr>
          <w:color w:val="231F20"/>
          <w:spacing w:val="-2"/>
          <w:sz w:val="16"/>
        </w:rPr>
        <w:t xml:space="preserve"> </w:t>
      </w:r>
      <w:r>
        <w:rPr>
          <w:color w:val="231F20"/>
          <w:sz w:val="16"/>
        </w:rPr>
        <w:t>Luminol</w:t>
      </w:r>
      <w:r>
        <w:rPr>
          <w:color w:val="231F20"/>
          <w:spacing w:val="-2"/>
          <w:sz w:val="16"/>
        </w:rPr>
        <w:t xml:space="preserve"> </w:t>
      </w:r>
      <w:r>
        <w:rPr>
          <w:color w:val="231F20"/>
          <w:sz w:val="16"/>
        </w:rPr>
        <w:t>reagent</w:t>
      </w:r>
      <w:r>
        <w:rPr>
          <w:color w:val="231F20"/>
          <w:spacing w:val="-2"/>
          <w:sz w:val="16"/>
        </w:rPr>
        <w:t xml:space="preserve"> </w:t>
      </w:r>
      <w:r>
        <w:rPr>
          <w:color w:val="231F20"/>
          <w:sz w:val="16"/>
        </w:rPr>
        <w:t>detection</w:t>
      </w:r>
      <w:r>
        <w:rPr>
          <w:color w:val="231F20"/>
          <w:spacing w:val="-2"/>
          <w:sz w:val="16"/>
        </w:rPr>
        <w:t xml:space="preserve"> </w:t>
      </w:r>
      <w:r>
        <w:rPr>
          <w:color w:val="231F20"/>
          <w:sz w:val="16"/>
        </w:rPr>
        <w:t>kit</w:t>
      </w:r>
      <w:r>
        <w:rPr>
          <w:color w:val="231F20"/>
          <w:spacing w:val="-2"/>
          <w:sz w:val="16"/>
        </w:rPr>
        <w:t xml:space="preserve"> </w:t>
      </w:r>
      <w:r>
        <w:rPr>
          <w:color w:val="231F20"/>
          <w:sz w:val="16"/>
        </w:rPr>
        <w:t>(Santa</w:t>
      </w:r>
      <w:r>
        <w:rPr>
          <w:color w:val="231F20"/>
          <w:spacing w:val="-2"/>
          <w:sz w:val="16"/>
        </w:rPr>
        <w:t xml:space="preserve"> </w:t>
      </w:r>
      <w:r>
        <w:rPr>
          <w:color w:val="231F20"/>
          <w:sz w:val="16"/>
        </w:rPr>
        <w:t>Cruz</w:t>
      </w:r>
      <w:r>
        <w:rPr>
          <w:color w:val="231F20"/>
          <w:spacing w:val="-2"/>
          <w:sz w:val="16"/>
        </w:rPr>
        <w:t xml:space="preserve"> </w:t>
      </w:r>
      <w:r>
        <w:rPr>
          <w:color w:val="231F20"/>
          <w:sz w:val="16"/>
        </w:rPr>
        <w:t>Biotech-</w:t>
      </w:r>
      <w:r>
        <w:rPr>
          <w:color w:val="231F20"/>
          <w:spacing w:val="40"/>
          <w:sz w:val="16"/>
        </w:rPr>
        <w:t xml:space="preserve"> </w:t>
      </w:r>
      <w:r>
        <w:rPr>
          <w:color w:val="231F20"/>
          <w:sz w:val="16"/>
        </w:rPr>
        <w:t>nology, Inc., Santa Cruz, CA).</w:t>
      </w:r>
    </w:p>
    <w:p w14:paraId="4211E125" w14:textId="77777777" w:rsidR="00B322A0" w:rsidRDefault="00000000">
      <w:pPr>
        <w:spacing w:before="1" w:line="256" w:lineRule="auto"/>
        <w:ind w:left="103" w:right="113" w:firstLine="180"/>
        <w:jc w:val="both"/>
        <w:rPr>
          <w:sz w:val="16"/>
        </w:rPr>
      </w:pPr>
      <w:r>
        <w:rPr>
          <w:b/>
          <w:color w:val="231F20"/>
          <w:sz w:val="16"/>
        </w:rPr>
        <w:t>Transfection</w:t>
      </w:r>
      <w:r>
        <w:rPr>
          <w:b/>
          <w:color w:val="231F20"/>
          <w:spacing w:val="-8"/>
          <w:sz w:val="16"/>
        </w:rPr>
        <w:t xml:space="preserve"> </w:t>
      </w:r>
      <w:r>
        <w:rPr>
          <w:b/>
          <w:color w:val="231F20"/>
          <w:sz w:val="16"/>
        </w:rPr>
        <w:t>Experiments</w:t>
      </w:r>
      <w:r>
        <w:rPr>
          <w:b/>
          <w:color w:val="231F20"/>
          <w:spacing w:val="-8"/>
          <w:sz w:val="16"/>
        </w:rPr>
        <w:t xml:space="preserve"> </w:t>
      </w:r>
      <w:r>
        <w:rPr>
          <w:b/>
          <w:color w:val="231F20"/>
          <w:sz w:val="16"/>
        </w:rPr>
        <w:t>and</w:t>
      </w:r>
      <w:r>
        <w:rPr>
          <w:b/>
          <w:color w:val="231F20"/>
          <w:spacing w:val="-8"/>
          <w:sz w:val="16"/>
        </w:rPr>
        <w:t xml:space="preserve"> </w:t>
      </w:r>
      <w:r>
        <w:rPr>
          <w:b/>
          <w:color w:val="231F20"/>
          <w:sz w:val="16"/>
        </w:rPr>
        <w:t>Colony</w:t>
      </w:r>
      <w:r>
        <w:rPr>
          <w:b/>
          <w:color w:val="231F20"/>
          <w:spacing w:val="-8"/>
          <w:sz w:val="16"/>
        </w:rPr>
        <w:t xml:space="preserve"> </w:t>
      </w:r>
      <w:r>
        <w:rPr>
          <w:b/>
          <w:color w:val="231F20"/>
          <w:sz w:val="16"/>
        </w:rPr>
        <w:t>Formation</w:t>
      </w:r>
      <w:r>
        <w:rPr>
          <w:b/>
          <w:color w:val="231F20"/>
          <w:spacing w:val="-8"/>
          <w:sz w:val="16"/>
        </w:rPr>
        <w:t xml:space="preserve"> </w:t>
      </w:r>
      <w:r>
        <w:rPr>
          <w:b/>
          <w:color w:val="231F20"/>
          <w:sz w:val="16"/>
        </w:rPr>
        <w:t>Assays.</w:t>
      </w:r>
      <w:r>
        <w:rPr>
          <w:b/>
          <w:color w:val="231F20"/>
          <w:spacing w:val="28"/>
          <w:sz w:val="16"/>
        </w:rPr>
        <w:t xml:space="preserve"> </w:t>
      </w:r>
      <w:r>
        <w:rPr>
          <w:color w:val="231F20"/>
          <w:sz w:val="16"/>
        </w:rPr>
        <w:t>Transfections</w:t>
      </w:r>
      <w:r>
        <w:rPr>
          <w:color w:val="231F20"/>
          <w:spacing w:val="40"/>
          <w:sz w:val="16"/>
        </w:rPr>
        <w:t xml:space="preserve"> </w:t>
      </w:r>
      <w:r>
        <w:rPr>
          <w:color w:val="231F20"/>
          <w:sz w:val="16"/>
        </w:rPr>
        <w:t>and colony assays were developed as described previously (19). In brief,</w:t>
      </w:r>
      <w:r>
        <w:rPr>
          <w:color w:val="231F20"/>
          <w:spacing w:val="80"/>
          <w:sz w:val="16"/>
        </w:rPr>
        <w:t xml:space="preserve"> </w:t>
      </w:r>
      <w:r>
        <w:rPr>
          <w:color w:val="231F20"/>
          <w:sz w:val="16"/>
        </w:rPr>
        <w:t>pSV-</w:t>
      </w:r>
      <w:r>
        <w:rPr>
          <w:rFonts w:ascii="Verdana" w:hAnsi="Verdana"/>
          <w:color w:val="231F20"/>
          <w:sz w:val="16"/>
        </w:rPr>
        <w:t>β</w:t>
      </w:r>
      <w:r>
        <w:rPr>
          <w:color w:val="231F20"/>
          <w:sz w:val="16"/>
        </w:rPr>
        <w:t>-galactosidase</w:t>
      </w:r>
      <w:r>
        <w:rPr>
          <w:color w:val="231F20"/>
          <w:spacing w:val="-6"/>
          <w:sz w:val="16"/>
        </w:rPr>
        <w:t xml:space="preserve"> </w:t>
      </w:r>
      <w:r>
        <w:rPr>
          <w:color w:val="231F20"/>
          <w:sz w:val="16"/>
        </w:rPr>
        <w:t>control</w:t>
      </w:r>
      <w:r>
        <w:rPr>
          <w:color w:val="231F20"/>
          <w:spacing w:val="-6"/>
          <w:sz w:val="16"/>
        </w:rPr>
        <w:t xml:space="preserve"> </w:t>
      </w:r>
      <w:r>
        <w:rPr>
          <w:color w:val="231F20"/>
          <w:sz w:val="16"/>
        </w:rPr>
        <w:t>vector</w:t>
      </w:r>
      <w:r>
        <w:rPr>
          <w:color w:val="231F20"/>
          <w:spacing w:val="-6"/>
          <w:sz w:val="16"/>
        </w:rPr>
        <w:t xml:space="preserve"> </w:t>
      </w:r>
      <w:r>
        <w:rPr>
          <w:color w:val="231F20"/>
          <w:sz w:val="16"/>
        </w:rPr>
        <w:t>and</w:t>
      </w:r>
      <w:r>
        <w:rPr>
          <w:color w:val="231F20"/>
          <w:spacing w:val="-6"/>
          <w:sz w:val="16"/>
        </w:rPr>
        <w:t xml:space="preserve"> </w:t>
      </w:r>
      <w:r>
        <w:rPr>
          <w:color w:val="231F20"/>
          <w:sz w:val="16"/>
        </w:rPr>
        <w:t>the</w:t>
      </w:r>
      <w:r>
        <w:rPr>
          <w:color w:val="231F20"/>
          <w:spacing w:val="-6"/>
          <w:sz w:val="16"/>
        </w:rPr>
        <w:t xml:space="preserve"> </w:t>
      </w:r>
      <w:r>
        <w:rPr>
          <w:color w:val="231F20"/>
          <w:sz w:val="16"/>
        </w:rPr>
        <w:t>expression</w:t>
      </w:r>
      <w:r>
        <w:rPr>
          <w:color w:val="231F20"/>
          <w:spacing w:val="-6"/>
          <w:sz w:val="16"/>
        </w:rPr>
        <w:t xml:space="preserve"> </w:t>
      </w:r>
      <w:r>
        <w:rPr>
          <w:color w:val="231F20"/>
          <w:sz w:val="16"/>
        </w:rPr>
        <w:t>vectors</w:t>
      </w:r>
      <w:r>
        <w:rPr>
          <w:color w:val="231F20"/>
          <w:spacing w:val="-6"/>
          <w:sz w:val="16"/>
        </w:rPr>
        <w:t xml:space="preserve"> </w:t>
      </w:r>
      <w:r>
        <w:rPr>
          <w:color w:val="231F20"/>
          <w:sz w:val="16"/>
        </w:rPr>
        <w:t>for</w:t>
      </w:r>
      <w:r>
        <w:rPr>
          <w:color w:val="231F20"/>
          <w:spacing w:val="-6"/>
          <w:sz w:val="16"/>
        </w:rPr>
        <w:t xml:space="preserve"> </w:t>
      </w:r>
      <w:r>
        <w:rPr>
          <w:color w:val="231F20"/>
          <w:sz w:val="16"/>
        </w:rPr>
        <w:t>the</w:t>
      </w:r>
      <w:r>
        <w:rPr>
          <w:color w:val="231F20"/>
          <w:spacing w:val="-5"/>
          <w:sz w:val="16"/>
        </w:rPr>
        <w:t xml:space="preserve"> </w:t>
      </w:r>
      <w:r>
        <w:rPr>
          <w:i/>
          <w:color w:val="231F20"/>
          <w:sz w:val="16"/>
        </w:rPr>
        <w:t>IGFBP3</w:t>
      </w:r>
      <w:r>
        <w:rPr>
          <w:i/>
          <w:color w:val="231F20"/>
          <w:spacing w:val="40"/>
          <w:sz w:val="16"/>
        </w:rPr>
        <w:t xml:space="preserve"> </w:t>
      </w:r>
      <w:r>
        <w:rPr>
          <w:color w:val="231F20"/>
          <w:sz w:val="16"/>
        </w:rPr>
        <w:t>(pDNA-3 hIGFBP-3, provided by Dr. Sylvie Babajko, Hopital Saint Antoine,</w:t>
      </w:r>
      <w:r>
        <w:rPr>
          <w:color w:val="231F20"/>
          <w:spacing w:val="40"/>
          <w:sz w:val="16"/>
        </w:rPr>
        <w:t xml:space="preserve"> </w:t>
      </w:r>
      <w:r>
        <w:rPr>
          <w:color w:val="231F20"/>
          <w:sz w:val="16"/>
        </w:rPr>
        <w:t xml:space="preserve">Paris, France) and the </w:t>
      </w:r>
      <w:r>
        <w:rPr>
          <w:i/>
          <w:color w:val="231F20"/>
          <w:sz w:val="16"/>
        </w:rPr>
        <w:t xml:space="preserve">CSRP2 </w:t>
      </w:r>
      <w:r>
        <w:rPr>
          <w:color w:val="231F20"/>
          <w:sz w:val="16"/>
        </w:rPr>
        <w:t>genes (pCMV5-HA-hCRP2, provided by Dr.</w:t>
      </w:r>
      <w:r>
        <w:rPr>
          <w:color w:val="231F20"/>
          <w:spacing w:val="40"/>
          <w:sz w:val="16"/>
        </w:rPr>
        <w:t xml:space="preserve"> </w:t>
      </w:r>
      <w:r>
        <w:rPr>
          <w:color w:val="231F20"/>
          <w:sz w:val="16"/>
        </w:rPr>
        <w:t>Axel M. Gressner, University of Aachen, Aachen, Germany), also containing</w:t>
      </w:r>
      <w:r>
        <w:rPr>
          <w:color w:val="231F20"/>
          <w:spacing w:val="40"/>
          <w:sz w:val="16"/>
        </w:rPr>
        <w:t xml:space="preserve"> </w:t>
      </w:r>
      <w:r>
        <w:rPr>
          <w:color w:val="231F20"/>
          <w:sz w:val="16"/>
        </w:rPr>
        <w:t>neomycin</w:t>
      </w:r>
      <w:r>
        <w:rPr>
          <w:color w:val="231F20"/>
          <w:spacing w:val="-7"/>
          <w:sz w:val="16"/>
        </w:rPr>
        <w:t xml:space="preserve"> </w:t>
      </w:r>
      <w:r>
        <w:rPr>
          <w:color w:val="231F20"/>
          <w:sz w:val="16"/>
        </w:rPr>
        <w:t>resistance</w:t>
      </w:r>
      <w:r>
        <w:rPr>
          <w:color w:val="231F20"/>
          <w:spacing w:val="-7"/>
          <w:sz w:val="16"/>
        </w:rPr>
        <w:t xml:space="preserve"> </w:t>
      </w:r>
      <w:r>
        <w:rPr>
          <w:color w:val="231F20"/>
          <w:sz w:val="16"/>
        </w:rPr>
        <w:t>genes,</w:t>
      </w:r>
      <w:r>
        <w:rPr>
          <w:color w:val="231F20"/>
          <w:spacing w:val="-7"/>
          <w:sz w:val="16"/>
        </w:rPr>
        <w:t xml:space="preserve"> </w:t>
      </w:r>
      <w:r>
        <w:rPr>
          <w:color w:val="231F20"/>
          <w:sz w:val="16"/>
        </w:rPr>
        <w:t>were</w:t>
      </w:r>
      <w:r>
        <w:rPr>
          <w:color w:val="231F20"/>
          <w:spacing w:val="-8"/>
          <w:sz w:val="16"/>
        </w:rPr>
        <w:t xml:space="preserve"> </w:t>
      </w:r>
      <w:r>
        <w:rPr>
          <w:color w:val="231F20"/>
          <w:sz w:val="16"/>
        </w:rPr>
        <w:t>transfected</w:t>
      </w:r>
      <w:r>
        <w:rPr>
          <w:color w:val="231F20"/>
          <w:spacing w:val="-7"/>
          <w:sz w:val="16"/>
        </w:rPr>
        <w:t xml:space="preserve"> </w:t>
      </w:r>
      <w:r>
        <w:rPr>
          <w:color w:val="231F20"/>
          <w:sz w:val="16"/>
        </w:rPr>
        <w:t>into</w:t>
      </w:r>
      <w:r>
        <w:rPr>
          <w:color w:val="231F20"/>
          <w:spacing w:val="-7"/>
          <w:sz w:val="16"/>
        </w:rPr>
        <w:t xml:space="preserve"> </w:t>
      </w:r>
      <w:r>
        <w:rPr>
          <w:color w:val="231F20"/>
          <w:sz w:val="16"/>
        </w:rPr>
        <w:t>the</w:t>
      </w:r>
      <w:r>
        <w:rPr>
          <w:color w:val="231F20"/>
          <w:spacing w:val="-7"/>
          <w:sz w:val="16"/>
        </w:rPr>
        <w:t xml:space="preserve"> </w:t>
      </w:r>
      <w:r>
        <w:rPr>
          <w:color w:val="231F20"/>
          <w:sz w:val="16"/>
        </w:rPr>
        <w:t>T47D</w:t>
      </w:r>
      <w:r>
        <w:rPr>
          <w:color w:val="231F20"/>
          <w:spacing w:val="-8"/>
          <w:sz w:val="16"/>
        </w:rPr>
        <w:t xml:space="preserve"> </w:t>
      </w:r>
      <w:r>
        <w:rPr>
          <w:color w:val="231F20"/>
          <w:sz w:val="16"/>
        </w:rPr>
        <w:t>and</w:t>
      </w:r>
      <w:r>
        <w:rPr>
          <w:color w:val="231F20"/>
          <w:spacing w:val="-7"/>
          <w:sz w:val="16"/>
        </w:rPr>
        <w:t xml:space="preserve"> </w:t>
      </w:r>
      <w:r>
        <w:rPr>
          <w:color w:val="231F20"/>
          <w:sz w:val="16"/>
        </w:rPr>
        <w:t>HCT-116</w:t>
      </w:r>
      <w:r>
        <w:rPr>
          <w:color w:val="231F20"/>
          <w:spacing w:val="-7"/>
          <w:sz w:val="16"/>
        </w:rPr>
        <w:t xml:space="preserve"> </w:t>
      </w:r>
      <w:r>
        <w:rPr>
          <w:color w:val="231F20"/>
          <w:sz w:val="16"/>
        </w:rPr>
        <w:t>cells,</w:t>
      </w:r>
      <w:r>
        <w:rPr>
          <w:color w:val="231F20"/>
          <w:spacing w:val="40"/>
          <w:sz w:val="16"/>
        </w:rPr>
        <w:t xml:space="preserve"> </w:t>
      </w:r>
      <w:r>
        <w:rPr>
          <w:color w:val="231F20"/>
          <w:sz w:val="16"/>
        </w:rPr>
        <w:t>respectively, by the lipofection method. Cells were seeded in a six-well plate</w:t>
      </w:r>
      <w:r>
        <w:rPr>
          <w:color w:val="231F20"/>
          <w:spacing w:val="80"/>
          <w:sz w:val="16"/>
        </w:rPr>
        <w:t xml:space="preserve"> </w:t>
      </w:r>
      <w:r>
        <w:rPr>
          <w:color w:val="231F20"/>
          <w:sz w:val="16"/>
        </w:rPr>
        <w:t>a</w:t>
      </w:r>
      <w:r>
        <w:rPr>
          <w:color w:val="231F20"/>
          <w:spacing w:val="-8"/>
          <w:sz w:val="16"/>
        </w:rPr>
        <w:t xml:space="preserve"> </w:t>
      </w:r>
      <w:r>
        <w:rPr>
          <w:color w:val="231F20"/>
          <w:sz w:val="16"/>
        </w:rPr>
        <w:t>day</w:t>
      </w:r>
      <w:r>
        <w:rPr>
          <w:color w:val="231F20"/>
          <w:spacing w:val="-3"/>
          <w:sz w:val="16"/>
        </w:rPr>
        <w:t xml:space="preserve"> </w:t>
      </w:r>
      <w:r>
        <w:rPr>
          <w:color w:val="231F20"/>
          <w:sz w:val="16"/>
        </w:rPr>
        <w:t>before</w:t>
      </w:r>
      <w:r>
        <w:rPr>
          <w:color w:val="231F20"/>
          <w:spacing w:val="-3"/>
          <w:sz w:val="16"/>
        </w:rPr>
        <w:t xml:space="preserve"> </w:t>
      </w:r>
      <w:r>
        <w:rPr>
          <w:color w:val="231F20"/>
          <w:sz w:val="16"/>
        </w:rPr>
        <w:t>transfection</w:t>
      </w:r>
      <w:r>
        <w:rPr>
          <w:color w:val="231F20"/>
          <w:spacing w:val="-3"/>
          <w:sz w:val="16"/>
        </w:rPr>
        <w:t xml:space="preserve"> </w:t>
      </w:r>
      <w:r>
        <w:rPr>
          <w:color w:val="231F20"/>
          <w:sz w:val="16"/>
        </w:rPr>
        <w:t>at</w:t>
      </w:r>
      <w:r>
        <w:rPr>
          <w:color w:val="231F20"/>
          <w:spacing w:val="-3"/>
          <w:sz w:val="16"/>
        </w:rPr>
        <w:t xml:space="preserve"> </w:t>
      </w:r>
      <w:r>
        <w:rPr>
          <w:color w:val="231F20"/>
          <w:sz w:val="16"/>
        </w:rPr>
        <w:t>a</w:t>
      </w:r>
      <w:r>
        <w:rPr>
          <w:color w:val="231F20"/>
          <w:spacing w:val="-3"/>
          <w:sz w:val="16"/>
        </w:rPr>
        <w:t xml:space="preserve"> </w:t>
      </w:r>
      <w:r>
        <w:rPr>
          <w:color w:val="231F20"/>
          <w:sz w:val="16"/>
        </w:rPr>
        <w:t>density</w:t>
      </w:r>
      <w:r>
        <w:rPr>
          <w:color w:val="231F20"/>
          <w:spacing w:val="-3"/>
          <w:sz w:val="16"/>
        </w:rPr>
        <w:t xml:space="preserve"> </w:t>
      </w:r>
      <w:r>
        <w:rPr>
          <w:color w:val="231F20"/>
          <w:sz w:val="16"/>
        </w:rPr>
        <w:t>of</w:t>
      </w:r>
      <w:r>
        <w:rPr>
          <w:color w:val="231F20"/>
          <w:spacing w:val="-3"/>
          <w:sz w:val="16"/>
        </w:rPr>
        <w:t xml:space="preserve"> </w:t>
      </w:r>
      <w:r>
        <w:rPr>
          <w:color w:val="231F20"/>
          <w:sz w:val="16"/>
        </w:rPr>
        <w:t>2</w:t>
      </w:r>
      <w:r>
        <w:rPr>
          <w:color w:val="231F20"/>
          <w:spacing w:val="-3"/>
          <w:sz w:val="16"/>
        </w:rPr>
        <w:t xml:space="preserve"> </w:t>
      </w:r>
      <w:r>
        <w:rPr>
          <w:rFonts w:ascii="Verdana" w:hAnsi="Verdana"/>
          <w:color w:val="231F20"/>
          <w:sz w:val="16"/>
        </w:rPr>
        <w:t>×</w:t>
      </w:r>
      <w:r>
        <w:rPr>
          <w:rFonts w:ascii="Verdana" w:hAnsi="Verdana"/>
          <w:color w:val="231F20"/>
          <w:spacing w:val="-15"/>
          <w:sz w:val="16"/>
        </w:rPr>
        <w:t xml:space="preserve"> </w:t>
      </w:r>
      <w:r>
        <w:rPr>
          <w:color w:val="231F20"/>
          <w:sz w:val="16"/>
        </w:rPr>
        <w:t>10</w:t>
      </w:r>
      <w:r>
        <w:rPr>
          <w:color w:val="231F20"/>
          <w:sz w:val="16"/>
          <w:vertAlign w:val="superscript"/>
        </w:rPr>
        <w:t>5</w:t>
      </w:r>
      <w:r>
        <w:rPr>
          <w:color w:val="231F20"/>
          <w:spacing w:val="-2"/>
          <w:sz w:val="16"/>
        </w:rPr>
        <w:t xml:space="preserve"> </w:t>
      </w:r>
      <w:r>
        <w:rPr>
          <w:color w:val="231F20"/>
          <w:sz w:val="16"/>
        </w:rPr>
        <w:t>cells/well.</w:t>
      </w:r>
      <w:r>
        <w:rPr>
          <w:color w:val="231F20"/>
          <w:spacing w:val="-3"/>
          <w:sz w:val="16"/>
        </w:rPr>
        <w:t xml:space="preserve"> </w:t>
      </w:r>
      <w:r>
        <w:rPr>
          <w:color w:val="231F20"/>
          <w:sz w:val="16"/>
        </w:rPr>
        <w:t>Two</w:t>
      </w:r>
      <w:r>
        <w:rPr>
          <w:color w:val="231F20"/>
          <w:spacing w:val="-3"/>
          <w:sz w:val="16"/>
        </w:rPr>
        <w:t xml:space="preserve"> </w:t>
      </w:r>
      <w:r>
        <w:rPr>
          <w:rFonts w:ascii="Verdana" w:hAnsi="Verdana"/>
          <w:color w:val="231F20"/>
          <w:sz w:val="16"/>
        </w:rPr>
        <w:t>µ</w:t>
      </w:r>
      <w:r>
        <w:rPr>
          <w:color w:val="231F20"/>
          <w:sz w:val="16"/>
        </w:rPr>
        <w:t>g</w:t>
      </w:r>
      <w:r>
        <w:rPr>
          <w:color w:val="231F20"/>
          <w:spacing w:val="-3"/>
          <w:sz w:val="16"/>
        </w:rPr>
        <w:t xml:space="preserve"> </w:t>
      </w:r>
      <w:r>
        <w:rPr>
          <w:color w:val="231F20"/>
          <w:sz w:val="16"/>
        </w:rPr>
        <w:t>of</w:t>
      </w:r>
      <w:r>
        <w:rPr>
          <w:color w:val="231F20"/>
          <w:spacing w:val="-3"/>
          <w:sz w:val="16"/>
        </w:rPr>
        <w:t xml:space="preserve"> </w:t>
      </w:r>
      <w:r>
        <w:rPr>
          <w:color w:val="231F20"/>
          <w:sz w:val="16"/>
        </w:rPr>
        <w:t>purified</w:t>
      </w:r>
      <w:r>
        <w:rPr>
          <w:color w:val="231F20"/>
          <w:spacing w:val="40"/>
          <w:sz w:val="16"/>
        </w:rPr>
        <w:t xml:space="preserve"> </w:t>
      </w:r>
      <w:r>
        <w:rPr>
          <w:color w:val="231F20"/>
          <w:sz w:val="16"/>
        </w:rPr>
        <w:t>plasmid</w:t>
      </w:r>
      <w:r>
        <w:rPr>
          <w:color w:val="231F20"/>
          <w:spacing w:val="-3"/>
          <w:sz w:val="16"/>
        </w:rPr>
        <w:t xml:space="preserve"> </w:t>
      </w:r>
      <w:r>
        <w:rPr>
          <w:color w:val="231F20"/>
          <w:sz w:val="16"/>
        </w:rPr>
        <w:t>DNA</w:t>
      </w:r>
      <w:r>
        <w:rPr>
          <w:color w:val="231F20"/>
          <w:spacing w:val="-3"/>
          <w:sz w:val="16"/>
        </w:rPr>
        <w:t xml:space="preserve"> </w:t>
      </w:r>
      <w:r>
        <w:rPr>
          <w:color w:val="231F20"/>
          <w:sz w:val="16"/>
        </w:rPr>
        <w:t>were</w:t>
      </w:r>
      <w:r>
        <w:rPr>
          <w:color w:val="231F20"/>
          <w:spacing w:val="-3"/>
          <w:sz w:val="16"/>
        </w:rPr>
        <w:t xml:space="preserve"> </w:t>
      </w:r>
      <w:r>
        <w:rPr>
          <w:color w:val="231F20"/>
          <w:sz w:val="16"/>
        </w:rPr>
        <w:t>transfected</w:t>
      </w:r>
      <w:r>
        <w:rPr>
          <w:color w:val="231F20"/>
          <w:spacing w:val="-3"/>
          <w:sz w:val="16"/>
        </w:rPr>
        <w:t xml:space="preserve"> </w:t>
      </w:r>
      <w:r>
        <w:rPr>
          <w:color w:val="231F20"/>
          <w:sz w:val="16"/>
        </w:rPr>
        <w:t>with</w:t>
      </w:r>
      <w:r>
        <w:rPr>
          <w:color w:val="231F20"/>
          <w:spacing w:val="-3"/>
          <w:sz w:val="16"/>
        </w:rPr>
        <w:t xml:space="preserve"> </w:t>
      </w:r>
      <w:r>
        <w:rPr>
          <w:color w:val="231F20"/>
          <w:sz w:val="16"/>
        </w:rPr>
        <w:t>LipofectAmine</w:t>
      </w:r>
      <w:r>
        <w:rPr>
          <w:color w:val="231F20"/>
          <w:spacing w:val="-3"/>
          <w:sz w:val="16"/>
        </w:rPr>
        <w:t xml:space="preserve"> </w:t>
      </w:r>
      <w:r>
        <w:rPr>
          <w:color w:val="231F20"/>
          <w:sz w:val="16"/>
        </w:rPr>
        <w:t>Plus</w:t>
      </w:r>
      <w:r>
        <w:rPr>
          <w:color w:val="231F20"/>
          <w:spacing w:val="-3"/>
          <w:sz w:val="16"/>
        </w:rPr>
        <w:t xml:space="preserve"> </w:t>
      </w:r>
      <w:r>
        <w:rPr>
          <w:color w:val="231F20"/>
          <w:sz w:val="16"/>
        </w:rPr>
        <w:t>reagent,</w:t>
      </w:r>
      <w:r>
        <w:rPr>
          <w:color w:val="231F20"/>
          <w:spacing w:val="-3"/>
          <w:sz w:val="16"/>
        </w:rPr>
        <w:t xml:space="preserve"> </w:t>
      </w:r>
      <w:r>
        <w:rPr>
          <w:color w:val="231F20"/>
          <w:sz w:val="16"/>
        </w:rPr>
        <w:t>according</w:t>
      </w:r>
      <w:r>
        <w:rPr>
          <w:color w:val="231F20"/>
          <w:spacing w:val="-3"/>
          <w:sz w:val="16"/>
        </w:rPr>
        <w:t xml:space="preserve"> </w:t>
      </w:r>
      <w:r>
        <w:rPr>
          <w:color w:val="231F20"/>
          <w:sz w:val="16"/>
        </w:rPr>
        <w:t>to</w:t>
      </w:r>
      <w:r>
        <w:rPr>
          <w:color w:val="231F20"/>
          <w:spacing w:val="40"/>
          <w:sz w:val="16"/>
        </w:rPr>
        <w:t xml:space="preserve"> </w:t>
      </w:r>
      <w:r>
        <w:rPr>
          <w:color w:val="231F20"/>
          <w:sz w:val="16"/>
        </w:rPr>
        <w:t>the manufacturer’s recommendations. The experiment was repeated three</w:t>
      </w:r>
      <w:r>
        <w:rPr>
          <w:color w:val="231F20"/>
          <w:spacing w:val="40"/>
          <w:sz w:val="16"/>
        </w:rPr>
        <w:t xml:space="preserve"> </w:t>
      </w:r>
      <w:r>
        <w:rPr>
          <w:color w:val="231F20"/>
          <w:sz w:val="16"/>
        </w:rPr>
        <w:t>times.</w:t>
      </w:r>
      <w:r>
        <w:rPr>
          <w:color w:val="231F20"/>
          <w:spacing w:val="-6"/>
          <w:sz w:val="16"/>
        </w:rPr>
        <w:t xml:space="preserve"> </w:t>
      </w:r>
      <w:r>
        <w:rPr>
          <w:color w:val="231F20"/>
          <w:sz w:val="16"/>
        </w:rPr>
        <w:t>24</w:t>
      </w:r>
      <w:r>
        <w:rPr>
          <w:color w:val="231F20"/>
          <w:spacing w:val="-6"/>
          <w:sz w:val="16"/>
        </w:rPr>
        <w:t xml:space="preserve"> </w:t>
      </w:r>
      <w:r>
        <w:rPr>
          <w:color w:val="231F20"/>
          <w:sz w:val="16"/>
        </w:rPr>
        <w:t>h.</w:t>
      </w:r>
      <w:r>
        <w:rPr>
          <w:color w:val="231F20"/>
          <w:spacing w:val="-6"/>
          <w:sz w:val="16"/>
        </w:rPr>
        <w:t xml:space="preserve"> </w:t>
      </w:r>
      <w:r>
        <w:rPr>
          <w:color w:val="231F20"/>
          <w:sz w:val="16"/>
        </w:rPr>
        <w:t>After</w:t>
      </w:r>
      <w:r>
        <w:rPr>
          <w:color w:val="231F20"/>
          <w:spacing w:val="-6"/>
          <w:sz w:val="16"/>
        </w:rPr>
        <w:t xml:space="preserve"> </w:t>
      </w:r>
      <w:r>
        <w:rPr>
          <w:color w:val="231F20"/>
          <w:sz w:val="16"/>
        </w:rPr>
        <w:t>transfection,</w:t>
      </w:r>
      <w:r>
        <w:rPr>
          <w:color w:val="231F20"/>
          <w:spacing w:val="-6"/>
          <w:sz w:val="16"/>
        </w:rPr>
        <w:t xml:space="preserve"> </w:t>
      </w:r>
      <w:r>
        <w:rPr>
          <w:rFonts w:ascii="Verdana" w:hAnsi="Verdana"/>
          <w:color w:val="231F20"/>
          <w:sz w:val="16"/>
        </w:rPr>
        <w:t>β</w:t>
      </w:r>
      <w:r>
        <w:rPr>
          <w:color w:val="231F20"/>
          <w:sz w:val="16"/>
        </w:rPr>
        <w:t>-galactoside</w:t>
      </w:r>
      <w:r>
        <w:rPr>
          <w:color w:val="231F20"/>
          <w:spacing w:val="-6"/>
          <w:sz w:val="16"/>
        </w:rPr>
        <w:t xml:space="preserve"> </w:t>
      </w:r>
      <w:r>
        <w:rPr>
          <w:color w:val="231F20"/>
          <w:sz w:val="16"/>
        </w:rPr>
        <w:t>activity</w:t>
      </w:r>
      <w:r>
        <w:rPr>
          <w:color w:val="231F20"/>
          <w:spacing w:val="-6"/>
          <w:sz w:val="16"/>
        </w:rPr>
        <w:t xml:space="preserve"> </w:t>
      </w:r>
      <w:r>
        <w:rPr>
          <w:color w:val="231F20"/>
          <w:sz w:val="16"/>
        </w:rPr>
        <w:t>was</w:t>
      </w:r>
      <w:r>
        <w:rPr>
          <w:color w:val="231F20"/>
          <w:spacing w:val="-6"/>
          <w:sz w:val="16"/>
        </w:rPr>
        <w:t xml:space="preserve"> </w:t>
      </w:r>
      <w:r>
        <w:rPr>
          <w:color w:val="231F20"/>
          <w:sz w:val="16"/>
        </w:rPr>
        <w:t>measured</w:t>
      </w:r>
      <w:r>
        <w:rPr>
          <w:color w:val="231F20"/>
          <w:spacing w:val="-6"/>
          <w:sz w:val="16"/>
        </w:rPr>
        <w:t xml:space="preserve"> </w:t>
      </w:r>
      <w:r>
        <w:rPr>
          <w:color w:val="231F20"/>
          <w:sz w:val="16"/>
        </w:rPr>
        <w:t>in</w:t>
      </w:r>
      <w:r>
        <w:rPr>
          <w:color w:val="231F20"/>
          <w:spacing w:val="-6"/>
          <w:sz w:val="16"/>
        </w:rPr>
        <w:t xml:space="preserve"> </w:t>
      </w:r>
      <w:r>
        <w:rPr>
          <w:color w:val="231F20"/>
          <w:sz w:val="16"/>
        </w:rPr>
        <w:t>the</w:t>
      </w:r>
      <w:r>
        <w:rPr>
          <w:color w:val="231F20"/>
          <w:spacing w:val="-6"/>
          <w:sz w:val="16"/>
        </w:rPr>
        <w:t xml:space="preserve"> </w:t>
      </w:r>
      <w:r>
        <w:rPr>
          <w:color w:val="231F20"/>
          <w:sz w:val="16"/>
        </w:rPr>
        <w:t>cells</w:t>
      </w:r>
      <w:r>
        <w:rPr>
          <w:color w:val="231F20"/>
          <w:spacing w:val="40"/>
          <w:sz w:val="16"/>
        </w:rPr>
        <w:t xml:space="preserve"> </w:t>
      </w:r>
      <w:r>
        <w:rPr>
          <w:color w:val="231F20"/>
          <w:sz w:val="16"/>
        </w:rPr>
        <w:t>carrying</w:t>
      </w:r>
      <w:r>
        <w:rPr>
          <w:color w:val="231F20"/>
          <w:spacing w:val="-9"/>
          <w:sz w:val="16"/>
        </w:rPr>
        <w:t xml:space="preserve"> </w:t>
      </w:r>
      <w:r>
        <w:rPr>
          <w:color w:val="231F20"/>
          <w:sz w:val="16"/>
        </w:rPr>
        <w:t>the</w:t>
      </w:r>
      <w:r>
        <w:rPr>
          <w:color w:val="231F20"/>
          <w:spacing w:val="-9"/>
          <w:sz w:val="16"/>
        </w:rPr>
        <w:t xml:space="preserve"> </w:t>
      </w:r>
      <w:r>
        <w:rPr>
          <w:color w:val="231F20"/>
          <w:sz w:val="16"/>
        </w:rPr>
        <w:t>control</w:t>
      </w:r>
      <w:r>
        <w:rPr>
          <w:color w:val="231F20"/>
          <w:spacing w:val="-9"/>
          <w:sz w:val="16"/>
        </w:rPr>
        <w:t xml:space="preserve"> </w:t>
      </w:r>
      <w:r>
        <w:rPr>
          <w:color w:val="231F20"/>
          <w:sz w:val="16"/>
        </w:rPr>
        <w:t>vector</w:t>
      </w:r>
      <w:r>
        <w:rPr>
          <w:color w:val="231F20"/>
          <w:spacing w:val="-9"/>
          <w:sz w:val="16"/>
        </w:rPr>
        <w:t xml:space="preserve"> </w:t>
      </w:r>
      <w:r>
        <w:rPr>
          <w:color w:val="231F20"/>
          <w:sz w:val="16"/>
        </w:rPr>
        <w:t>using</w:t>
      </w:r>
      <w:r>
        <w:rPr>
          <w:color w:val="231F20"/>
          <w:spacing w:val="-9"/>
          <w:sz w:val="16"/>
        </w:rPr>
        <w:t xml:space="preserve"> </w:t>
      </w:r>
      <w:r>
        <w:rPr>
          <w:color w:val="231F20"/>
          <w:sz w:val="16"/>
        </w:rPr>
        <w:t>a</w:t>
      </w:r>
      <w:r>
        <w:rPr>
          <w:color w:val="231F20"/>
          <w:spacing w:val="-9"/>
          <w:sz w:val="16"/>
        </w:rPr>
        <w:t xml:space="preserve"> </w:t>
      </w:r>
      <w:r>
        <w:rPr>
          <w:rFonts w:ascii="Verdana" w:hAnsi="Verdana"/>
          <w:color w:val="231F20"/>
          <w:sz w:val="16"/>
        </w:rPr>
        <w:t>β</w:t>
      </w:r>
      <w:r>
        <w:rPr>
          <w:color w:val="231F20"/>
          <w:sz w:val="16"/>
        </w:rPr>
        <w:t>-galactoside</w:t>
      </w:r>
      <w:r>
        <w:rPr>
          <w:color w:val="231F20"/>
          <w:spacing w:val="-9"/>
          <w:sz w:val="16"/>
        </w:rPr>
        <w:t xml:space="preserve"> </w:t>
      </w:r>
      <w:r>
        <w:rPr>
          <w:color w:val="231F20"/>
          <w:sz w:val="16"/>
        </w:rPr>
        <w:t>activity</w:t>
      </w:r>
      <w:r>
        <w:rPr>
          <w:color w:val="231F20"/>
          <w:spacing w:val="-9"/>
          <w:sz w:val="16"/>
        </w:rPr>
        <w:t xml:space="preserve"> </w:t>
      </w:r>
      <w:r>
        <w:rPr>
          <w:color w:val="231F20"/>
          <w:sz w:val="16"/>
        </w:rPr>
        <w:t>kit.</w:t>
      </w:r>
      <w:r>
        <w:rPr>
          <w:color w:val="231F20"/>
          <w:spacing w:val="-9"/>
          <w:sz w:val="16"/>
        </w:rPr>
        <w:t xml:space="preserve"> </w:t>
      </w:r>
      <w:r>
        <w:rPr>
          <w:color w:val="231F20"/>
          <w:sz w:val="16"/>
        </w:rPr>
        <w:t>Clones</w:t>
      </w:r>
      <w:r>
        <w:rPr>
          <w:color w:val="231F20"/>
          <w:spacing w:val="-9"/>
          <w:sz w:val="16"/>
        </w:rPr>
        <w:t xml:space="preserve"> </w:t>
      </w:r>
      <w:r>
        <w:rPr>
          <w:color w:val="231F20"/>
          <w:sz w:val="16"/>
        </w:rPr>
        <w:t>expressing</w:t>
      </w:r>
      <w:r>
        <w:rPr>
          <w:color w:val="231F20"/>
          <w:spacing w:val="40"/>
          <w:sz w:val="16"/>
        </w:rPr>
        <w:t xml:space="preserve"> </w:t>
      </w:r>
      <w:r>
        <w:rPr>
          <w:color w:val="231F20"/>
          <w:sz w:val="16"/>
        </w:rPr>
        <w:t>the</w:t>
      </w:r>
      <w:r>
        <w:rPr>
          <w:color w:val="231F20"/>
          <w:spacing w:val="-1"/>
          <w:sz w:val="16"/>
        </w:rPr>
        <w:t xml:space="preserve"> </w:t>
      </w:r>
      <w:r>
        <w:rPr>
          <w:color w:val="231F20"/>
          <w:sz w:val="16"/>
        </w:rPr>
        <w:t>transfected</w:t>
      </w:r>
      <w:r>
        <w:rPr>
          <w:color w:val="231F20"/>
          <w:spacing w:val="-1"/>
          <w:sz w:val="16"/>
        </w:rPr>
        <w:t xml:space="preserve"> </w:t>
      </w:r>
      <w:r>
        <w:rPr>
          <w:color w:val="231F20"/>
          <w:sz w:val="16"/>
        </w:rPr>
        <w:t>proteins</w:t>
      </w:r>
      <w:r>
        <w:rPr>
          <w:color w:val="231F20"/>
          <w:spacing w:val="-1"/>
          <w:sz w:val="16"/>
        </w:rPr>
        <w:t xml:space="preserve"> </w:t>
      </w:r>
      <w:r>
        <w:rPr>
          <w:color w:val="231F20"/>
          <w:sz w:val="16"/>
        </w:rPr>
        <w:t>were</w:t>
      </w:r>
      <w:r>
        <w:rPr>
          <w:color w:val="231F20"/>
          <w:spacing w:val="-1"/>
          <w:sz w:val="16"/>
        </w:rPr>
        <w:t xml:space="preserve"> </w:t>
      </w:r>
      <w:r>
        <w:rPr>
          <w:color w:val="231F20"/>
          <w:sz w:val="16"/>
        </w:rPr>
        <w:t>selected</w:t>
      </w:r>
      <w:r>
        <w:rPr>
          <w:color w:val="231F20"/>
          <w:spacing w:val="-1"/>
          <w:sz w:val="16"/>
        </w:rPr>
        <w:t xml:space="preserve"> </w:t>
      </w:r>
      <w:r>
        <w:rPr>
          <w:color w:val="231F20"/>
          <w:sz w:val="16"/>
        </w:rPr>
        <w:t>in</w:t>
      </w:r>
      <w:r>
        <w:rPr>
          <w:color w:val="231F20"/>
          <w:spacing w:val="-1"/>
          <w:sz w:val="16"/>
        </w:rPr>
        <w:t xml:space="preserve"> </w:t>
      </w:r>
      <w:r>
        <w:rPr>
          <w:color w:val="231F20"/>
          <w:sz w:val="16"/>
        </w:rPr>
        <w:t>complete</w:t>
      </w:r>
      <w:r>
        <w:rPr>
          <w:color w:val="231F20"/>
          <w:spacing w:val="-1"/>
          <w:sz w:val="16"/>
        </w:rPr>
        <w:t xml:space="preserve"> </w:t>
      </w:r>
      <w:r>
        <w:rPr>
          <w:color w:val="231F20"/>
          <w:sz w:val="16"/>
        </w:rPr>
        <w:t>medium</w:t>
      </w:r>
      <w:r>
        <w:rPr>
          <w:color w:val="231F20"/>
          <w:spacing w:val="-1"/>
          <w:sz w:val="16"/>
        </w:rPr>
        <w:t xml:space="preserve"> </w:t>
      </w:r>
      <w:r>
        <w:rPr>
          <w:color w:val="231F20"/>
          <w:sz w:val="16"/>
        </w:rPr>
        <w:t>supplemented</w:t>
      </w:r>
      <w:r>
        <w:rPr>
          <w:color w:val="231F20"/>
          <w:spacing w:val="-1"/>
          <w:sz w:val="16"/>
        </w:rPr>
        <w:t xml:space="preserve"> </w:t>
      </w:r>
      <w:r>
        <w:rPr>
          <w:color w:val="231F20"/>
          <w:sz w:val="16"/>
        </w:rPr>
        <w:t>with</w:t>
      </w:r>
      <w:r>
        <w:rPr>
          <w:color w:val="231F20"/>
          <w:spacing w:val="40"/>
          <w:sz w:val="16"/>
        </w:rPr>
        <w:t xml:space="preserve"> </w:t>
      </w:r>
      <w:r>
        <w:rPr>
          <w:color w:val="231F20"/>
          <w:sz w:val="16"/>
        </w:rPr>
        <w:t>1 mg/ml G418, 48 h after transfection. Stable clones were maintained in</w:t>
      </w:r>
      <w:r>
        <w:rPr>
          <w:color w:val="231F20"/>
          <w:spacing w:val="40"/>
          <w:sz w:val="16"/>
        </w:rPr>
        <w:t xml:space="preserve"> </w:t>
      </w:r>
      <w:r>
        <w:rPr>
          <w:color w:val="231F20"/>
          <w:sz w:val="16"/>
        </w:rPr>
        <w:t xml:space="preserve">complete medium with G418 (800 </w:t>
      </w:r>
      <w:r>
        <w:rPr>
          <w:rFonts w:ascii="Verdana" w:hAnsi="Verdana"/>
          <w:color w:val="231F20"/>
          <w:sz w:val="16"/>
        </w:rPr>
        <w:t>µ</w:t>
      </w:r>
      <w:r>
        <w:rPr>
          <w:color w:val="231F20"/>
          <w:sz w:val="16"/>
        </w:rPr>
        <w:t>g/ml). Total RNA from individual clones</w:t>
      </w:r>
      <w:r>
        <w:rPr>
          <w:color w:val="231F20"/>
          <w:spacing w:val="40"/>
          <w:sz w:val="16"/>
        </w:rPr>
        <w:t xml:space="preserve"> </w:t>
      </w:r>
      <w:r>
        <w:rPr>
          <w:color w:val="231F20"/>
          <w:sz w:val="16"/>
        </w:rPr>
        <w:t>was extracted, and reverse transcription-PCR was performed to confirm that</w:t>
      </w:r>
      <w:r>
        <w:rPr>
          <w:color w:val="231F20"/>
          <w:spacing w:val="40"/>
          <w:sz w:val="16"/>
        </w:rPr>
        <w:t xml:space="preserve"> </w:t>
      </w:r>
      <w:r>
        <w:rPr>
          <w:color w:val="231F20"/>
          <w:sz w:val="16"/>
        </w:rPr>
        <w:t>the clones were expressing the transfected genes. T47D and HCT-116 cells</w:t>
      </w:r>
      <w:r>
        <w:rPr>
          <w:color w:val="231F20"/>
          <w:spacing w:val="40"/>
          <w:sz w:val="16"/>
        </w:rPr>
        <w:t xml:space="preserve"> </w:t>
      </w:r>
      <w:r>
        <w:rPr>
          <w:color w:val="231F20"/>
          <w:sz w:val="16"/>
        </w:rPr>
        <w:t>were also transfected with the vector containing no inserts and stable clones</w:t>
      </w:r>
      <w:r>
        <w:rPr>
          <w:color w:val="231F20"/>
          <w:spacing w:val="40"/>
          <w:sz w:val="16"/>
        </w:rPr>
        <w:t xml:space="preserve"> </w:t>
      </w:r>
      <w:r>
        <w:rPr>
          <w:color w:val="231F20"/>
          <w:sz w:val="16"/>
        </w:rPr>
        <w:t xml:space="preserve">isolated. After </w:t>
      </w:r>
      <w:r>
        <w:rPr>
          <w:rFonts w:ascii="Verdana" w:hAnsi="Verdana"/>
          <w:color w:val="231F20"/>
          <w:sz w:val="16"/>
        </w:rPr>
        <w:t>~</w:t>
      </w:r>
      <w:r>
        <w:rPr>
          <w:color w:val="231F20"/>
          <w:sz w:val="16"/>
        </w:rPr>
        <w:t>16 days of selection, stable G418-resistant colonies were</w:t>
      </w:r>
      <w:r>
        <w:rPr>
          <w:color w:val="231F20"/>
          <w:spacing w:val="40"/>
          <w:sz w:val="16"/>
        </w:rPr>
        <w:t xml:space="preserve"> </w:t>
      </w:r>
      <w:r>
        <w:rPr>
          <w:color w:val="231F20"/>
          <w:sz w:val="16"/>
        </w:rPr>
        <w:t>fixed, stained with 2% methylene blue in 60% methanol, and the average</w:t>
      </w:r>
      <w:r>
        <w:rPr>
          <w:color w:val="231F20"/>
          <w:spacing w:val="40"/>
          <w:sz w:val="16"/>
        </w:rPr>
        <w:t xml:space="preserve"> </w:t>
      </w:r>
      <w:r>
        <w:rPr>
          <w:color w:val="231F20"/>
          <w:sz w:val="16"/>
        </w:rPr>
        <w:t xml:space="preserve">number of colonies present in each well was counted. Wild-type </w:t>
      </w:r>
      <w:r>
        <w:rPr>
          <w:i/>
          <w:color w:val="231F20"/>
          <w:sz w:val="16"/>
        </w:rPr>
        <w:t xml:space="preserve">p53 </w:t>
      </w:r>
      <w:r>
        <w:rPr>
          <w:color w:val="231F20"/>
          <w:sz w:val="16"/>
        </w:rPr>
        <w:t>(pWZL-</w:t>
      </w:r>
      <w:r>
        <w:rPr>
          <w:color w:val="231F20"/>
          <w:spacing w:val="40"/>
          <w:sz w:val="16"/>
        </w:rPr>
        <w:t xml:space="preserve"> </w:t>
      </w:r>
      <w:r>
        <w:rPr>
          <w:color w:val="231F20"/>
          <w:sz w:val="16"/>
        </w:rPr>
        <w:t xml:space="preserve">hp53 wt, Hygro) and </w:t>
      </w:r>
      <w:r>
        <w:rPr>
          <w:i/>
          <w:color w:val="231F20"/>
          <w:sz w:val="16"/>
        </w:rPr>
        <w:t>p16</w:t>
      </w:r>
      <w:r>
        <w:rPr>
          <w:i/>
          <w:color w:val="231F20"/>
          <w:sz w:val="16"/>
          <w:vertAlign w:val="superscript"/>
        </w:rPr>
        <w:t>INK4a</w:t>
      </w:r>
      <w:r>
        <w:rPr>
          <w:i/>
          <w:color w:val="231F20"/>
          <w:sz w:val="16"/>
        </w:rPr>
        <w:t xml:space="preserve"> </w:t>
      </w:r>
      <w:r>
        <w:rPr>
          <w:color w:val="231F20"/>
          <w:sz w:val="16"/>
        </w:rPr>
        <w:t>(pLPC-hp16 wt-HA-puro) were used as addi-</w:t>
      </w:r>
      <w:r>
        <w:rPr>
          <w:color w:val="231F20"/>
          <w:spacing w:val="40"/>
          <w:sz w:val="16"/>
        </w:rPr>
        <w:t xml:space="preserve"> </w:t>
      </w:r>
      <w:r>
        <w:rPr>
          <w:color w:val="231F20"/>
          <w:sz w:val="16"/>
        </w:rPr>
        <w:t xml:space="preserve">tional positive controls, and mutants </w:t>
      </w:r>
      <w:r>
        <w:rPr>
          <w:i/>
          <w:color w:val="231F20"/>
          <w:sz w:val="16"/>
        </w:rPr>
        <w:t xml:space="preserve">p53 </w:t>
      </w:r>
      <w:r>
        <w:rPr>
          <w:color w:val="231F20"/>
          <w:sz w:val="16"/>
        </w:rPr>
        <w:t>(pWZL-hp53-N175H, Hygro) and</w:t>
      </w:r>
      <w:r>
        <w:rPr>
          <w:color w:val="231F20"/>
          <w:spacing w:val="40"/>
          <w:sz w:val="16"/>
        </w:rPr>
        <w:t xml:space="preserve"> </w:t>
      </w:r>
      <w:r>
        <w:rPr>
          <w:i/>
          <w:color w:val="231F20"/>
          <w:sz w:val="16"/>
        </w:rPr>
        <w:t>p16</w:t>
      </w:r>
      <w:r>
        <w:rPr>
          <w:i/>
          <w:color w:val="231F20"/>
          <w:sz w:val="16"/>
          <w:vertAlign w:val="superscript"/>
        </w:rPr>
        <w:t>INK4a</w:t>
      </w:r>
      <w:r>
        <w:rPr>
          <w:i/>
          <w:color w:val="231F20"/>
          <w:spacing w:val="-1"/>
          <w:sz w:val="16"/>
        </w:rPr>
        <w:t xml:space="preserve"> </w:t>
      </w:r>
      <w:r>
        <w:rPr>
          <w:color w:val="231F20"/>
          <w:sz w:val="16"/>
        </w:rPr>
        <w:t>(pLPC-hp16</w:t>
      </w:r>
      <w:r>
        <w:rPr>
          <w:color w:val="231F20"/>
          <w:spacing w:val="-1"/>
          <w:sz w:val="16"/>
        </w:rPr>
        <w:t xml:space="preserve"> </w:t>
      </w:r>
      <w:r>
        <w:rPr>
          <w:color w:val="231F20"/>
          <w:sz w:val="16"/>
        </w:rPr>
        <w:t>mut-HA-M53I-puro)</w:t>
      </w:r>
      <w:r>
        <w:rPr>
          <w:color w:val="231F20"/>
          <w:spacing w:val="-1"/>
          <w:sz w:val="16"/>
        </w:rPr>
        <w:t xml:space="preserve"> </w:t>
      </w:r>
      <w:r>
        <w:rPr>
          <w:color w:val="231F20"/>
          <w:sz w:val="16"/>
        </w:rPr>
        <w:t>were</w:t>
      </w:r>
      <w:r>
        <w:rPr>
          <w:color w:val="231F20"/>
          <w:spacing w:val="-1"/>
          <w:sz w:val="16"/>
        </w:rPr>
        <w:t xml:space="preserve"> </w:t>
      </w:r>
      <w:r>
        <w:rPr>
          <w:color w:val="231F20"/>
          <w:sz w:val="16"/>
        </w:rPr>
        <w:t>used</w:t>
      </w:r>
      <w:r>
        <w:rPr>
          <w:color w:val="231F20"/>
          <w:spacing w:val="-1"/>
          <w:sz w:val="16"/>
        </w:rPr>
        <w:t xml:space="preserve"> </w:t>
      </w:r>
      <w:r>
        <w:rPr>
          <w:color w:val="231F20"/>
          <w:sz w:val="16"/>
        </w:rPr>
        <w:t>as</w:t>
      </w:r>
      <w:r>
        <w:rPr>
          <w:color w:val="231F20"/>
          <w:spacing w:val="-1"/>
          <w:sz w:val="16"/>
        </w:rPr>
        <w:t xml:space="preserve"> </w:t>
      </w:r>
      <w:r>
        <w:rPr>
          <w:color w:val="231F20"/>
          <w:sz w:val="16"/>
        </w:rPr>
        <w:t>negative</w:t>
      </w:r>
      <w:r>
        <w:rPr>
          <w:color w:val="231F20"/>
          <w:spacing w:val="-1"/>
          <w:sz w:val="16"/>
        </w:rPr>
        <w:t xml:space="preserve"> </w:t>
      </w:r>
      <w:r>
        <w:rPr>
          <w:color w:val="231F20"/>
          <w:sz w:val="16"/>
        </w:rPr>
        <w:t>controls.</w:t>
      </w:r>
      <w:r>
        <w:rPr>
          <w:color w:val="231F20"/>
          <w:spacing w:val="-1"/>
          <w:sz w:val="16"/>
        </w:rPr>
        <w:t xml:space="preserve"> </w:t>
      </w:r>
      <w:r>
        <w:rPr>
          <w:color w:val="231F20"/>
          <w:sz w:val="16"/>
        </w:rPr>
        <w:t>All</w:t>
      </w:r>
      <w:r>
        <w:rPr>
          <w:color w:val="231F20"/>
          <w:spacing w:val="40"/>
          <w:sz w:val="16"/>
        </w:rPr>
        <w:t xml:space="preserve"> </w:t>
      </w:r>
      <w:r>
        <w:rPr>
          <w:color w:val="231F20"/>
          <w:sz w:val="16"/>
        </w:rPr>
        <w:t xml:space="preserve">of the </w:t>
      </w:r>
      <w:r>
        <w:rPr>
          <w:i/>
          <w:color w:val="231F20"/>
          <w:sz w:val="16"/>
        </w:rPr>
        <w:t xml:space="preserve">p53 </w:t>
      </w:r>
      <w:r>
        <w:rPr>
          <w:color w:val="231F20"/>
          <w:sz w:val="16"/>
        </w:rPr>
        <w:t xml:space="preserve">and </w:t>
      </w:r>
      <w:r>
        <w:rPr>
          <w:i/>
          <w:color w:val="231F20"/>
          <w:sz w:val="16"/>
        </w:rPr>
        <w:t>p16</w:t>
      </w:r>
      <w:r>
        <w:rPr>
          <w:i/>
          <w:color w:val="231F20"/>
          <w:sz w:val="16"/>
          <w:vertAlign w:val="superscript"/>
        </w:rPr>
        <w:t>INK4a</w:t>
      </w:r>
      <w:r>
        <w:rPr>
          <w:i/>
          <w:color w:val="231F20"/>
          <w:sz w:val="16"/>
        </w:rPr>
        <w:t xml:space="preserve"> </w:t>
      </w:r>
      <w:r>
        <w:rPr>
          <w:color w:val="231F20"/>
          <w:sz w:val="16"/>
        </w:rPr>
        <w:t>expression vectors were provided by Dr. Manuel</w:t>
      </w:r>
      <w:r>
        <w:rPr>
          <w:color w:val="231F20"/>
          <w:spacing w:val="40"/>
          <w:sz w:val="16"/>
        </w:rPr>
        <w:t xml:space="preserve"> </w:t>
      </w:r>
      <w:r>
        <w:rPr>
          <w:color w:val="231F20"/>
          <w:spacing w:val="-2"/>
          <w:sz w:val="16"/>
        </w:rPr>
        <w:t>Serrano.</w:t>
      </w:r>
    </w:p>
    <w:p w14:paraId="42F72AE6" w14:textId="77777777" w:rsidR="00B322A0" w:rsidRDefault="00B322A0">
      <w:pPr>
        <w:pStyle w:val="Textoindependiente"/>
        <w:spacing w:before="57"/>
        <w:ind w:left="0"/>
        <w:rPr>
          <w:sz w:val="16"/>
        </w:rPr>
      </w:pPr>
    </w:p>
    <w:p w14:paraId="1F3586F5" w14:textId="77777777" w:rsidR="00B322A0" w:rsidRDefault="00000000">
      <w:pPr>
        <w:pStyle w:val="Ttulo1"/>
      </w:pPr>
      <w:r>
        <w:rPr>
          <w:color w:val="231F20"/>
          <w:spacing w:val="-2"/>
        </w:rPr>
        <w:t>Results</w:t>
      </w:r>
    </w:p>
    <w:p w14:paraId="638730D4" w14:textId="77777777" w:rsidR="00B322A0" w:rsidRDefault="00000000">
      <w:pPr>
        <w:pStyle w:val="Textoindependiente"/>
        <w:spacing w:before="154" w:line="254" w:lineRule="auto"/>
        <w:ind w:right="113" w:firstLine="180"/>
        <w:jc w:val="both"/>
      </w:pPr>
      <w:r>
        <w:rPr>
          <w:b/>
          <w:color w:val="231F20"/>
        </w:rPr>
        <w:t>5-Methylcytosine DNA Content in Cancer Cell Lines and Primary</w:t>
      </w:r>
      <w:r>
        <w:rPr>
          <w:b/>
          <w:color w:val="231F20"/>
          <w:spacing w:val="-5"/>
        </w:rPr>
        <w:t xml:space="preserve"> </w:t>
      </w:r>
      <w:r>
        <w:rPr>
          <w:b/>
          <w:color w:val="231F20"/>
        </w:rPr>
        <w:t>Tumors</w:t>
      </w:r>
      <w:r>
        <w:rPr>
          <w:b/>
          <w:color w:val="231F20"/>
          <w:spacing w:val="-5"/>
        </w:rPr>
        <w:t xml:space="preserve"> </w:t>
      </w:r>
      <w:r>
        <w:rPr>
          <w:b/>
          <w:color w:val="231F20"/>
        </w:rPr>
        <w:t>of</w:t>
      </w:r>
      <w:r>
        <w:rPr>
          <w:b/>
          <w:color w:val="231F20"/>
          <w:spacing w:val="-5"/>
        </w:rPr>
        <w:t xml:space="preserve"> </w:t>
      </w:r>
      <w:r>
        <w:rPr>
          <w:b/>
          <w:color w:val="231F20"/>
        </w:rPr>
        <w:t>the</w:t>
      </w:r>
      <w:r>
        <w:rPr>
          <w:b/>
          <w:color w:val="231F20"/>
          <w:spacing w:val="-5"/>
        </w:rPr>
        <w:t xml:space="preserve"> </w:t>
      </w:r>
      <w:r>
        <w:rPr>
          <w:b/>
          <w:color w:val="231F20"/>
        </w:rPr>
        <w:t>Mouse</w:t>
      </w:r>
      <w:r>
        <w:rPr>
          <w:b/>
          <w:color w:val="231F20"/>
          <w:spacing w:val="-5"/>
        </w:rPr>
        <w:t xml:space="preserve"> </w:t>
      </w:r>
      <w:r>
        <w:rPr>
          <w:b/>
          <w:color w:val="231F20"/>
        </w:rPr>
        <w:t>Skin</w:t>
      </w:r>
      <w:r>
        <w:rPr>
          <w:b/>
          <w:color w:val="231F20"/>
          <w:spacing w:val="-5"/>
        </w:rPr>
        <w:t xml:space="preserve"> </w:t>
      </w:r>
      <w:r>
        <w:rPr>
          <w:b/>
          <w:color w:val="231F20"/>
        </w:rPr>
        <w:t>Tumor</w:t>
      </w:r>
      <w:r>
        <w:rPr>
          <w:b/>
          <w:color w:val="231F20"/>
          <w:spacing w:val="-5"/>
        </w:rPr>
        <w:t xml:space="preserve"> </w:t>
      </w:r>
      <w:r>
        <w:rPr>
          <w:b/>
          <w:color w:val="231F20"/>
        </w:rPr>
        <w:t>Progression</w:t>
      </w:r>
      <w:r>
        <w:rPr>
          <w:b/>
          <w:color w:val="231F20"/>
          <w:spacing w:val="-5"/>
        </w:rPr>
        <w:t xml:space="preserve"> </w:t>
      </w:r>
      <w:r>
        <w:rPr>
          <w:b/>
          <w:color w:val="231F20"/>
        </w:rPr>
        <w:t>Model.</w:t>
      </w:r>
      <w:r>
        <w:rPr>
          <w:b/>
          <w:color w:val="231F20"/>
          <w:spacing w:val="28"/>
        </w:rPr>
        <w:t xml:space="preserve"> </w:t>
      </w:r>
      <w:r>
        <w:rPr>
          <w:color w:val="231F20"/>
        </w:rPr>
        <w:t>It is</w:t>
      </w:r>
      <w:r>
        <w:rPr>
          <w:color w:val="231F20"/>
          <w:spacing w:val="34"/>
        </w:rPr>
        <w:t xml:space="preserve"> </w:t>
      </w:r>
      <w:r>
        <w:rPr>
          <w:color w:val="231F20"/>
        </w:rPr>
        <w:t>accepted</w:t>
      </w:r>
      <w:r>
        <w:rPr>
          <w:color w:val="231F20"/>
          <w:spacing w:val="34"/>
        </w:rPr>
        <w:t xml:space="preserve"> </w:t>
      </w:r>
      <w:r>
        <w:rPr>
          <w:color w:val="231F20"/>
        </w:rPr>
        <w:t>that</w:t>
      </w:r>
      <w:r>
        <w:rPr>
          <w:color w:val="231F20"/>
          <w:spacing w:val="34"/>
        </w:rPr>
        <w:t xml:space="preserve"> </w:t>
      </w:r>
      <w:r>
        <w:rPr>
          <w:color w:val="231F20"/>
        </w:rPr>
        <w:t>the</w:t>
      </w:r>
      <w:r>
        <w:rPr>
          <w:color w:val="231F20"/>
          <w:spacing w:val="34"/>
        </w:rPr>
        <w:t xml:space="preserve"> </w:t>
      </w:r>
      <w:r>
        <w:rPr>
          <w:color w:val="231F20"/>
        </w:rPr>
        <w:t>majority</w:t>
      </w:r>
      <w:r>
        <w:rPr>
          <w:color w:val="231F20"/>
          <w:spacing w:val="34"/>
        </w:rPr>
        <w:t xml:space="preserve"> </w:t>
      </w:r>
      <w:r>
        <w:rPr>
          <w:color w:val="231F20"/>
        </w:rPr>
        <w:t>of</w:t>
      </w:r>
      <w:r>
        <w:rPr>
          <w:color w:val="231F20"/>
          <w:spacing w:val="34"/>
        </w:rPr>
        <w:t xml:space="preserve"> </w:t>
      </w:r>
      <w:r>
        <w:rPr>
          <w:color w:val="231F20"/>
        </w:rPr>
        <w:t>human</w:t>
      </w:r>
      <w:r>
        <w:rPr>
          <w:color w:val="231F20"/>
          <w:spacing w:val="34"/>
        </w:rPr>
        <w:t xml:space="preserve"> </w:t>
      </w:r>
      <w:r>
        <w:rPr>
          <w:color w:val="231F20"/>
        </w:rPr>
        <w:t>tumors</w:t>
      </w:r>
      <w:r>
        <w:rPr>
          <w:color w:val="231F20"/>
          <w:spacing w:val="34"/>
        </w:rPr>
        <w:t xml:space="preserve"> </w:t>
      </w:r>
      <w:r>
        <w:rPr>
          <w:color w:val="231F20"/>
        </w:rPr>
        <w:t>have</w:t>
      </w:r>
      <w:r>
        <w:rPr>
          <w:color w:val="231F20"/>
          <w:spacing w:val="34"/>
        </w:rPr>
        <w:t xml:space="preserve"> </w:t>
      </w:r>
      <w:r>
        <w:rPr>
          <w:color w:val="231F20"/>
        </w:rPr>
        <w:t>a</w:t>
      </w:r>
      <w:r>
        <w:rPr>
          <w:color w:val="231F20"/>
          <w:spacing w:val="34"/>
        </w:rPr>
        <w:t xml:space="preserve"> </w:t>
      </w:r>
      <w:r>
        <w:rPr>
          <w:color w:val="231F20"/>
        </w:rPr>
        <w:t>diminished 5-methylcytosine DNA content when compared with normal tissue counterparts (21, 22). Here, we studied the alterations in the overall DNA methylation status in the mouse skin model of multistage carcinogenesis to determine when these changes also occur during tumor progression. We used two complementary approaches, high performance capillary electrophoresis, an analytical technique that provides an absolute measurement of 5-methylcytosine content (15, 16), and immunolocalization of 5-methylcytosine to give qualitative information on nuclear distribution (17, 23).</w:t>
      </w:r>
    </w:p>
    <w:p w14:paraId="54692E53" w14:textId="77777777" w:rsidR="00B322A0" w:rsidRDefault="00000000">
      <w:pPr>
        <w:pStyle w:val="Textoindependiente"/>
        <w:spacing w:before="10" w:line="254" w:lineRule="auto"/>
        <w:ind w:right="113" w:firstLine="180"/>
        <w:jc w:val="both"/>
      </w:pPr>
      <w:r>
        <w:rPr>
          <w:color w:val="231F20"/>
        </w:rPr>
        <w:t>High-performance capillary electrophoresis analysis showed that there</w:t>
      </w:r>
      <w:r>
        <w:rPr>
          <w:color w:val="231F20"/>
          <w:spacing w:val="-8"/>
        </w:rPr>
        <w:t xml:space="preserve"> </w:t>
      </w:r>
      <w:r>
        <w:rPr>
          <w:color w:val="231F20"/>
        </w:rPr>
        <w:t>is</w:t>
      </w:r>
      <w:r>
        <w:rPr>
          <w:color w:val="231F20"/>
          <w:spacing w:val="-8"/>
        </w:rPr>
        <w:t xml:space="preserve"> </w:t>
      </w:r>
      <w:r>
        <w:rPr>
          <w:color w:val="231F20"/>
        </w:rPr>
        <w:t>a</w:t>
      </w:r>
      <w:r>
        <w:rPr>
          <w:color w:val="231F20"/>
          <w:spacing w:val="-8"/>
        </w:rPr>
        <w:t xml:space="preserve"> </w:t>
      </w:r>
      <w:r>
        <w:rPr>
          <w:color w:val="231F20"/>
        </w:rPr>
        <w:t>loss</w:t>
      </w:r>
      <w:r>
        <w:rPr>
          <w:color w:val="231F20"/>
          <w:spacing w:val="-8"/>
        </w:rPr>
        <w:t xml:space="preserve"> </w:t>
      </w:r>
      <w:r>
        <w:rPr>
          <w:color w:val="231F20"/>
        </w:rPr>
        <w:t>of</w:t>
      </w:r>
      <w:r>
        <w:rPr>
          <w:color w:val="231F20"/>
          <w:spacing w:val="-8"/>
        </w:rPr>
        <w:t xml:space="preserve"> </w:t>
      </w:r>
      <w:r>
        <w:rPr>
          <w:color w:val="231F20"/>
        </w:rPr>
        <w:t>5-methylcytosine</w:t>
      </w:r>
      <w:r>
        <w:rPr>
          <w:color w:val="231F20"/>
          <w:spacing w:val="-8"/>
        </w:rPr>
        <w:t xml:space="preserve"> </w:t>
      </w:r>
      <w:r>
        <w:rPr>
          <w:color w:val="231F20"/>
        </w:rPr>
        <w:t>during</w:t>
      </w:r>
      <w:r>
        <w:rPr>
          <w:color w:val="231F20"/>
          <w:spacing w:val="-8"/>
        </w:rPr>
        <w:t xml:space="preserve"> </w:t>
      </w:r>
      <w:r>
        <w:rPr>
          <w:color w:val="231F20"/>
        </w:rPr>
        <w:t>tumor</w:t>
      </w:r>
      <w:r>
        <w:rPr>
          <w:color w:val="231F20"/>
          <w:spacing w:val="-8"/>
        </w:rPr>
        <w:t xml:space="preserve"> </w:t>
      </w:r>
      <w:r>
        <w:rPr>
          <w:color w:val="231F20"/>
        </w:rPr>
        <w:t>progression</w:t>
      </w:r>
      <w:r>
        <w:rPr>
          <w:color w:val="231F20"/>
          <w:spacing w:val="-8"/>
        </w:rPr>
        <w:t xml:space="preserve"> </w:t>
      </w:r>
      <w:r>
        <w:rPr>
          <w:color w:val="231F20"/>
        </w:rPr>
        <w:t>(Fig.</w:t>
      </w:r>
      <w:r>
        <w:rPr>
          <w:color w:val="231F20"/>
          <w:spacing w:val="-8"/>
        </w:rPr>
        <w:t xml:space="preserve"> </w:t>
      </w:r>
      <w:r>
        <w:rPr>
          <w:color w:val="231F20"/>
        </w:rPr>
        <w:t>1</w:t>
      </w:r>
      <w:r>
        <w:rPr>
          <w:i/>
          <w:color w:val="231F20"/>
        </w:rPr>
        <w:t>A</w:t>
      </w:r>
      <w:r>
        <w:rPr>
          <w:color w:val="231F20"/>
        </w:rPr>
        <w:t>). There are two decreases visible in the 5-methylcytosine content dur- ing tumor progression: the first one occurs in the transition from nontumorigenic (MCA3D cells) to benign papilloma cells (PB and MSCP6)</w:t>
      </w:r>
      <w:r>
        <w:rPr>
          <w:color w:val="231F20"/>
          <w:spacing w:val="-7"/>
        </w:rPr>
        <w:t xml:space="preserve"> </w:t>
      </w:r>
      <w:r>
        <w:rPr>
          <w:color w:val="231F20"/>
        </w:rPr>
        <w:t>with</w:t>
      </w:r>
      <w:r>
        <w:rPr>
          <w:color w:val="231F20"/>
          <w:spacing w:val="-7"/>
        </w:rPr>
        <w:t xml:space="preserve"> </w:t>
      </w:r>
      <w:r>
        <w:rPr>
          <w:color w:val="231F20"/>
        </w:rPr>
        <w:t>a</w:t>
      </w:r>
      <w:r>
        <w:rPr>
          <w:color w:val="231F20"/>
          <w:spacing w:val="-7"/>
        </w:rPr>
        <w:t xml:space="preserve"> </w:t>
      </w:r>
      <w:r>
        <w:rPr>
          <w:color w:val="231F20"/>
        </w:rPr>
        <w:t>loss</w:t>
      </w:r>
      <w:r>
        <w:rPr>
          <w:color w:val="231F20"/>
          <w:spacing w:val="-7"/>
        </w:rPr>
        <w:t xml:space="preserve"> </w:t>
      </w:r>
      <w:r>
        <w:rPr>
          <w:color w:val="231F20"/>
        </w:rPr>
        <w:t>of</w:t>
      </w:r>
      <w:r>
        <w:rPr>
          <w:color w:val="231F20"/>
          <w:spacing w:val="-7"/>
        </w:rPr>
        <w:t xml:space="preserve"> </w:t>
      </w:r>
      <w:r>
        <w:rPr>
          <w:color w:val="231F20"/>
        </w:rPr>
        <w:t>25%</w:t>
      </w:r>
      <w:r>
        <w:rPr>
          <w:color w:val="231F20"/>
          <w:spacing w:val="-7"/>
        </w:rPr>
        <w:t xml:space="preserve"> </w:t>
      </w:r>
      <w:r>
        <w:rPr>
          <w:color w:val="231F20"/>
        </w:rPr>
        <w:t>of</w:t>
      </w:r>
      <w:r>
        <w:rPr>
          <w:color w:val="231F20"/>
          <w:spacing w:val="-7"/>
        </w:rPr>
        <w:t xml:space="preserve"> </w:t>
      </w:r>
      <w:r>
        <w:rPr>
          <w:color w:val="231F20"/>
        </w:rPr>
        <w:t>the</w:t>
      </w:r>
      <w:r>
        <w:rPr>
          <w:color w:val="231F20"/>
          <w:spacing w:val="-7"/>
        </w:rPr>
        <w:t xml:space="preserve"> </w:t>
      </w:r>
      <w:r>
        <w:rPr>
          <w:color w:val="231F20"/>
        </w:rPr>
        <w:t>total</w:t>
      </w:r>
      <w:r>
        <w:rPr>
          <w:color w:val="231F20"/>
          <w:spacing w:val="-7"/>
        </w:rPr>
        <w:t xml:space="preserve"> </w:t>
      </w:r>
      <w:r>
        <w:rPr>
          <w:color w:val="231F20"/>
        </w:rPr>
        <w:t>5-methylcytosine</w:t>
      </w:r>
      <w:r>
        <w:rPr>
          <w:color w:val="231F20"/>
          <w:spacing w:val="-7"/>
        </w:rPr>
        <w:t xml:space="preserve"> </w:t>
      </w:r>
      <w:r>
        <w:rPr>
          <w:color w:val="231F20"/>
        </w:rPr>
        <w:t>content.</w:t>
      </w:r>
      <w:r>
        <w:rPr>
          <w:color w:val="231F20"/>
          <w:spacing w:val="-7"/>
        </w:rPr>
        <w:t xml:space="preserve"> </w:t>
      </w:r>
      <w:r>
        <w:rPr>
          <w:color w:val="231F20"/>
        </w:rPr>
        <w:t>The second important hypomethylation event represented a loss of more than half (54%) of the total 5-methylcytosine genomic content: most importantly, this drop occurs when the transformed cells undergo an epithelial</w:t>
      </w:r>
      <w:r>
        <w:rPr>
          <w:color w:val="231F20"/>
          <w:spacing w:val="10"/>
        </w:rPr>
        <w:t xml:space="preserve"> </w:t>
      </w:r>
      <w:r>
        <w:rPr>
          <w:color w:val="231F20"/>
        </w:rPr>
        <w:t>(MSC11B9</w:t>
      </w:r>
      <w:r>
        <w:rPr>
          <w:color w:val="231F20"/>
          <w:spacing w:val="10"/>
        </w:rPr>
        <w:t xml:space="preserve"> </w:t>
      </w:r>
      <w:r>
        <w:rPr>
          <w:color w:val="231F20"/>
        </w:rPr>
        <w:t>cells)</w:t>
      </w:r>
      <w:r>
        <w:rPr>
          <w:color w:val="231F20"/>
          <w:spacing w:val="10"/>
        </w:rPr>
        <w:t xml:space="preserve"> </w:t>
      </w:r>
      <w:r>
        <w:rPr>
          <w:color w:val="231F20"/>
        </w:rPr>
        <w:t>to</w:t>
      </w:r>
      <w:r>
        <w:rPr>
          <w:color w:val="231F20"/>
          <w:spacing w:val="10"/>
        </w:rPr>
        <w:t xml:space="preserve"> </w:t>
      </w:r>
      <w:r>
        <w:rPr>
          <w:color w:val="231F20"/>
        </w:rPr>
        <w:t>spindle</w:t>
      </w:r>
      <w:r>
        <w:rPr>
          <w:color w:val="231F20"/>
          <w:spacing w:val="10"/>
        </w:rPr>
        <w:t xml:space="preserve"> </w:t>
      </w:r>
      <w:r>
        <w:rPr>
          <w:color w:val="231F20"/>
        </w:rPr>
        <w:t>(MSC11A5</w:t>
      </w:r>
      <w:r>
        <w:rPr>
          <w:color w:val="231F20"/>
          <w:spacing w:val="10"/>
        </w:rPr>
        <w:t xml:space="preserve"> </w:t>
      </w:r>
      <w:r>
        <w:rPr>
          <w:color w:val="231F20"/>
        </w:rPr>
        <w:t>cells)</w:t>
      </w:r>
      <w:r>
        <w:rPr>
          <w:color w:val="231F20"/>
          <w:spacing w:val="10"/>
        </w:rPr>
        <w:t xml:space="preserve"> </w:t>
      </w:r>
      <w:r>
        <w:rPr>
          <w:color w:val="231F20"/>
        </w:rPr>
        <w:t>transition</w:t>
      </w:r>
      <w:r>
        <w:rPr>
          <w:color w:val="231F20"/>
          <w:spacing w:val="10"/>
        </w:rPr>
        <w:t xml:space="preserve"> </w:t>
      </w:r>
      <w:r>
        <w:rPr>
          <w:color w:val="231F20"/>
          <w:spacing w:val="-5"/>
        </w:rPr>
        <w:t>in</w:t>
      </w:r>
    </w:p>
    <w:p w14:paraId="622302E9" w14:textId="77777777" w:rsidR="00B322A0" w:rsidRDefault="00B322A0">
      <w:pPr>
        <w:spacing w:line="254" w:lineRule="auto"/>
        <w:jc w:val="both"/>
        <w:sectPr w:rsidR="00B322A0" w:rsidSect="00BA4BCE">
          <w:type w:val="continuous"/>
          <w:pgSz w:w="11700" w:h="15660"/>
          <w:pgMar w:top="420" w:right="560" w:bottom="920" w:left="600" w:header="428" w:footer="719" w:gutter="0"/>
          <w:cols w:num="2" w:space="720" w:equalWidth="0">
            <w:col w:w="5185" w:space="95"/>
            <w:col w:w="5260"/>
          </w:cols>
        </w:sectPr>
      </w:pPr>
    </w:p>
    <w:p w14:paraId="74339FE6" w14:textId="77777777" w:rsidR="00B322A0" w:rsidRDefault="00B322A0">
      <w:pPr>
        <w:pStyle w:val="Textoindependiente"/>
        <w:spacing w:before="12"/>
        <w:ind w:left="0"/>
        <w:rPr>
          <w:sz w:val="20"/>
        </w:rPr>
      </w:pPr>
    </w:p>
    <w:p w14:paraId="7B8A3309" w14:textId="77777777" w:rsidR="00B322A0" w:rsidRDefault="00000000">
      <w:pPr>
        <w:pStyle w:val="Textoindependiente"/>
        <w:ind w:left="143"/>
        <w:rPr>
          <w:sz w:val="20"/>
        </w:rPr>
      </w:pPr>
      <w:r>
        <w:rPr>
          <w:noProof/>
          <w:sz w:val="20"/>
        </w:rPr>
        <w:drawing>
          <wp:inline distT="0" distB="0" distL="0" distR="0" wp14:anchorId="38488438" wp14:editId="51052B97">
            <wp:extent cx="6500143" cy="2316479"/>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7" cstate="print"/>
                    <a:stretch>
                      <a:fillRect/>
                    </a:stretch>
                  </pic:blipFill>
                  <pic:spPr>
                    <a:xfrm>
                      <a:off x="0" y="0"/>
                      <a:ext cx="6500143" cy="2316479"/>
                    </a:xfrm>
                    <a:prstGeom prst="rect">
                      <a:avLst/>
                    </a:prstGeom>
                  </pic:spPr>
                </pic:pic>
              </a:graphicData>
            </a:graphic>
          </wp:inline>
        </w:drawing>
      </w:r>
    </w:p>
    <w:p w14:paraId="7FD4E377" w14:textId="77777777" w:rsidR="00B322A0" w:rsidRDefault="00000000">
      <w:pPr>
        <w:spacing w:before="92" w:line="225" w:lineRule="auto"/>
        <w:ind w:left="103" w:right="114" w:firstLine="180"/>
        <w:jc w:val="both"/>
        <w:rPr>
          <w:sz w:val="14"/>
        </w:rPr>
      </w:pPr>
      <w:r>
        <w:rPr>
          <w:color w:val="231F20"/>
          <w:sz w:val="14"/>
        </w:rPr>
        <w:t xml:space="preserve">Fig. 1. Global DNA methylation status in the mouse skin tumor progression model. </w:t>
      </w:r>
      <w:r>
        <w:rPr>
          <w:i/>
          <w:color w:val="231F20"/>
          <w:sz w:val="14"/>
        </w:rPr>
        <w:t>A</w:t>
      </w:r>
      <w:r>
        <w:rPr>
          <w:color w:val="231F20"/>
          <w:sz w:val="14"/>
        </w:rPr>
        <w:t>, measurement of 5dmC content by high-performance capillary electrophoresis in mouse skin</w:t>
      </w:r>
      <w:r>
        <w:rPr>
          <w:color w:val="231F20"/>
          <w:spacing w:val="40"/>
          <w:sz w:val="14"/>
        </w:rPr>
        <w:t xml:space="preserve"> </w:t>
      </w:r>
      <w:r>
        <w:rPr>
          <w:color w:val="231F20"/>
          <w:sz w:val="14"/>
        </w:rPr>
        <w:t xml:space="preserve">cancer cell lines as a percentage of the total cytosine pool. Results are expressed as mean; </w:t>
      </w:r>
      <w:r>
        <w:rPr>
          <w:i/>
          <w:color w:val="231F20"/>
          <w:sz w:val="14"/>
        </w:rPr>
        <w:t xml:space="preserve">bars, </w:t>
      </w:r>
      <w:r>
        <w:rPr>
          <w:rFonts w:ascii="Verdana" w:hAnsi="Verdana"/>
          <w:color w:val="231F20"/>
          <w:sz w:val="14"/>
        </w:rPr>
        <w:t>±</w:t>
      </w:r>
      <w:r>
        <w:rPr>
          <w:color w:val="231F20"/>
          <w:sz w:val="14"/>
        </w:rPr>
        <w:t xml:space="preserve">SD. </w:t>
      </w:r>
      <w:r>
        <w:rPr>
          <w:i/>
          <w:color w:val="231F20"/>
          <w:sz w:val="14"/>
        </w:rPr>
        <w:t xml:space="preserve">B, </w:t>
      </w:r>
      <w:r>
        <w:rPr>
          <w:color w:val="231F20"/>
          <w:sz w:val="14"/>
        </w:rPr>
        <w:t>measurement of 5dmC content by high-performance capillary electrophoresis</w:t>
      </w:r>
      <w:r>
        <w:rPr>
          <w:color w:val="231F20"/>
          <w:spacing w:val="40"/>
          <w:sz w:val="14"/>
        </w:rPr>
        <w:t xml:space="preserve"> </w:t>
      </w:r>
      <w:r>
        <w:rPr>
          <w:color w:val="231F20"/>
          <w:sz w:val="14"/>
        </w:rPr>
        <w:t>in</w:t>
      </w:r>
      <w:r>
        <w:rPr>
          <w:color w:val="231F20"/>
          <w:spacing w:val="-7"/>
          <w:sz w:val="14"/>
        </w:rPr>
        <w:t xml:space="preserve"> </w:t>
      </w:r>
      <w:r>
        <w:rPr>
          <w:color w:val="231F20"/>
          <w:sz w:val="14"/>
        </w:rPr>
        <w:t>mouse skin</w:t>
      </w:r>
      <w:r>
        <w:rPr>
          <w:color w:val="231F20"/>
          <w:spacing w:val="-1"/>
          <w:sz w:val="14"/>
        </w:rPr>
        <w:t xml:space="preserve"> </w:t>
      </w:r>
      <w:r>
        <w:rPr>
          <w:color w:val="231F20"/>
          <w:sz w:val="14"/>
        </w:rPr>
        <w:t>primary</w:t>
      </w:r>
      <w:r>
        <w:rPr>
          <w:color w:val="231F20"/>
          <w:spacing w:val="-1"/>
          <w:sz w:val="14"/>
        </w:rPr>
        <w:t xml:space="preserve"> </w:t>
      </w:r>
      <w:r>
        <w:rPr>
          <w:color w:val="231F20"/>
          <w:sz w:val="14"/>
        </w:rPr>
        <w:t>tumors</w:t>
      </w:r>
      <w:r>
        <w:rPr>
          <w:color w:val="231F20"/>
          <w:spacing w:val="-1"/>
          <w:sz w:val="14"/>
        </w:rPr>
        <w:t xml:space="preserve"> </w:t>
      </w:r>
      <w:r>
        <w:rPr>
          <w:color w:val="231F20"/>
          <w:sz w:val="14"/>
        </w:rPr>
        <w:t>(papillomas,</w:t>
      </w:r>
      <w:r>
        <w:rPr>
          <w:color w:val="231F20"/>
          <w:spacing w:val="-1"/>
          <w:sz w:val="14"/>
        </w:rPr>
        <w:t xml:space="preserve"> </w:t>
      </w:r>
      <w:r>
        <w:rPr>
          <w:i/>
          <w:color w:val="231F20"/>
          <w:sz w:val="14"/>
        </w:rPr>
        <w:t>n</w:t>
      </w:r>
      <w:r>
        <w:rPr>
          <w:i/>
          <w:color w:val="231F20"/>
          <w:spacing w:val="-1"/>
          <w:sz w:val="14"/>
        </w:rPr>
        <w:t xml:space="preserve"> </w:t>
      </w:r>
      <w:r>
        <w:rPr>
          <w:rFonts w:ascii="Verdana" w:hAnsi="Verdana"/>
          <w:color w:val="231F20"/>
          <w:sz w:val="14"/>
        </w:rPr>
        <w:t>=</w:t>
      </w:r>
      <w:r>
        <w:rPr>
          <w:rFonts w:ascii="Verdana" w:hAnsi="Verdana"/>
          <w:color w:val="231F20"/>
          <w:spacing w:val="-13"/>
          <w:sz w:val="14"/>
        </w:rPr>
        <w:t xml:space="preserve"> </w:t>
      </w:r>
      <w:r>
        <w:rPr>
          <w:color w:val="231F20"/>
          <w:sz w:val="14"/>
        </w:rPr>
        <w:t>5; squamous</w:t>
      </w:r>
      <w:r>
        <w:rPr>
          <w:color w:val="231F20"/>
          <w:spacing w:val="-1"/>
          <w:sz w:val="14"/>
        </w:rPr>
        <w:t xml:space="preserve"> </w:t>
      </w:r>
      <w:r>
        <w:rPr>
          <w:color w:val="231F20"/>
          <w:sz w:val="14"/>
        </w:rPr>
        <w:t>carcinomas,</w:t>
      </w:r>
      <w:r>
        <w:rPr>
          <w:color w:val="231F20"/>
          <w:spacing w:val="-1"/>
          <w:sz w:val="14"/>
        </w:rPr>
        <w:t xml:space="preserve"> </w:t>
      </w:r>
      <w:r>
        <w:rPr>
          <w:i/>
          <w:color w:val="231F20"/>
          <w:sz w:val="14"/>
        </w:rPr>
        <w:t>n</w:t>
      </w:r>
      <w:r>
        <w:rPr>
          <w:i/>
          <w:color w:val="231F20"/>
          <w:spacing w:val="-1"/>
          <w:sz w:val="14"/>
        </w:rPr>
        <w:t xml:space="preserve"> </w:t>
      </w:r>
      <w:r>
        <w:rPr>
          <w:rFonts w:ascii="Verdana" w:hAnsi="Verdana"/>
          <w:color w:val="231F20"/>
          <w:sz w:val="14"/>
        </w:rPr>
        <w:t>=</w:t>
      </w:r>
      <w:r>
        <w:rPr>
          <w:rFonts w:ascii="Verdana" w:hAnsi="Verdana"/>
          <w:color w:val="231F20"/>
          <w:spacing w:val="-13"/>
          <w:sz w:val="14"/>
        </w:rPr>
        <w:t xml:space="preserve"> </w:t>
      </w:r>
      <w:r>
        <w:rPr>
          <w:color w:val="231F20"/>
          <w:sz w:val="14"/>
        </w:rPr>
        <w:t>5; and</w:t>
      </w:r>
      <w:r>
        <w:rPr>
          <w:color w:val="231F20"/>
          <w:spacing w:val="-1"/>
          <w:sz w:val="14"/>
        </w:rPr>
        <w:t xml:space="preserve"> </w:t>
      </w:r>
      <w:r>
        <w:rPr>
          <w:color w:val="231F20"/>
          <w:sz w:val="14"/>
        </w:rPr>
        <w:t>spindle</w:t>
      </w:r>
      <w:r>
        <w:rPr>
          <w:color w:val="231F20"/>
          <w:spacing w:val="-1"/>
          <w:sz w:val="14"/>
        </w:rPr>
        <w:t xml:space="preserve"> </w:t>
      </w:r>
      <w:r>
        <w:rPr>
          <w:color w:val="231F20"/>
          <w:sz w:val="14"/>
        </w:rPr>
        <w:t>carcinomas,</w:t>
      </w:r>
      <w:r>
        <w:rPr>
          <w:color w:val="231F20"/>
          <w:spacing w:val="-1"/>
          <w:sz w:val="14"/>
        </w:rPr>
        <w:t xml:space="preserve"> </w:t>
      </w:r>
      <w:r>
        <w:rPr>
          <w:i/>
          <w:color w:val="231F20"/>
          <w:sz w:val="14"/>
        </w:rPr>
        <w:t>n</w:t>
      </w:r>
      <w:r>
        <w:rPr>
          <w:i/>
          <w:color w:val="231F20"/>
          <w:spacing w:val="-1"/>
          <w:sz w:val="14"/>
        </w:rPr>
        <w:t xml:space="preserve"> </w:t>
      </w:r>
      <w:r>
        <w:rPr>
          <w:rFonts w:ascii="Verdana" w:hAnsi="Verdana"/>
          <w:color w:val="231F20"/>
          <w:sz w:val="14"/>
        </w:rPr>
        <w:t>=</w:t>
      </w:r>
      <w:r>
        <w:rPr>
          <w:rFonts w:ascii="Verdana" w:hAnsi="Verdana"/>
          <w:color w:val="231F20"/>
          <w:spacing w:val="-13"/>
          <w:sz w:val="14"/>
        </w:rPr>
        <w:t xml:space="preserve"> </w:t>
      </w:r>
      <w:r>
        <w:rPr>
          <w:color w:val="231F20"/>
          <w:sz w:val="14"/>
        </w:rPr>
        <w:t>5) as</w:t>
      </w:r>
      <w:r>
        <w:rPr>
          <w:color w:val="231F20"/>
          <w:spacing w:val="-1"/>
          <w:sz w:val="14"/>
        </w:rPr>
        <w:t xml:space="preserve"> </w:t>
      </w:r>
      <w:r>
        <w:rPr>
          <w:color w:val="231F20"/>
          <w:sz w:val="14"/>
        </w:rPr>
        <w:t>a</w:t>
      </w:r>
      <w:r>
        <w:rPr>
          <w:color w:val="231F20"/>
          <w:spacing w:val="-1"/>
          <w:sz w:val="14"/>
        </w:rPr>
        <w:t xml:space="preserve"> </w:t>
      </w:r>
      <w:r>
        <w:rPr>
          <w:color w:val="231F20"/>
          <w:sz w:val="14"/>
        </w:rPr>
        <w:t>percentage</w:t>
      </w:r>
      <w:r>
        <w:rPr>
          <w:color w:val="231F20"/>
          <w:spacing w:val="-1"/>
          <w:sz w:val="14"/>
        </w:rPr>
        <w:t xml:space="preserve"> </w:t>
      </w:r>
      <w:r>
        <w:rPr>
          <w:color w:val="231F20"/>
          <w:sz w:val="14"/>
        </w:rPr>
        <w:t>of</w:t>
      </w:r>
      <w:r>
        <w:rPr>
          <w:color w:val="231F20"/>
          <w:spacing w:val="-1"/>
          <w:sz w:val="14"/>
        </w:rPr>
        <w:t xml:space="preserve"> </w:t>
      </w:r>
      <w:r>
        <w:rPr>
          <w:color w:val="231F20"/>
          <w:sz w:val="14"/>
        </w:rPr>
        <w:t>the</w:t>
      </w:r>
      <w:r>
        <w:rPr>
          <w:color w:val="231F20"/>
          <w:spacing w:val="-1"/>
          <w:sz w:val="14"/>
        </w:rPr>
        <w:t xml:space="preserve"> </w:t>
      </w:r>
      <w:r>
        <w:rPr>
          <w:color w:val="231F20"/>
          <w:sz w:val="14"/>
        </w:rPr>
        <w:t>total</w:t>
      </w:r>
      <w:r>
        <w:rPr>
          <w:color w:val="231F20"/>
          <w:spacing w:val="-1"/>
          <w:sz w:val="14"/>
        </w:rPr>
        <w:t xml:space="preserve"> </w:t>
      </w:r>
      <w:r>
        <w:rPr>
          <w:color w:val="231F20"/>
          <w:sz w:val="14"/>
        </w:rPr>
        <w:t>cytosine</w:t>
      </w:r>
      <w:r>
        <w:rPr>
          <w:color w:val="231F20"/>
          <w:spacing w:val="-1"/>
          <w:sz w:val="14"/>
        </w:rPr>
        <w:t xml:space="preserve"> </w:t>
      </w:r>
      <w:r>
        <w:rPr>
          <w:color w:val="231F20"/>
          <w:sz w:val="14"/>
        </w:rPr>
        <w:t>pool</w:t>
      </w:r>
      <w:r>
        <w:rPr>
          <w:color w:val="231F20"/>
          <w:spacing w:val="-1"/>
          <w:sz w:val="14"/>
        </w:rPr>
        <w:t xml:space="preserve"> </w:t>
      </w:r>
      <w:r>
        <w:rPr>
          <w:color w:val="231F20"/>
          <w:sz w:val="14"/>
        </w:rPr>
        <w:t>(</w:t>
      </w:r>
      <w:r>
        <w:rPr>
          <w:i/>
          <w:color w:val="231F20"/>
          <w:sz w:val="14"/>
        </w:rPr>
        <w:t>right</w:t>
      </w:r>
      <w:r>
        <w:rPr>
          <w:color w:val="231F20"/>
          <w:sz w:val="14"/>
        </w:rPr>
        <w:t>).</w:t>
      </w:r>
      <w:r>
        <w:rPr>
          <w:color w:val="231F20"/>
          <w:spacing w:val="-1"/>
          <w:sz w:val="14"/>
        </w:rPr>
        <w:t xml:space="preserve"> </w:t>
      </w:r>
      <w:r>
        <w:rPr>
          <w:color w:val="231F20"/>
          <w:sz w:val="14"/>
        </w:rPr>
        <w:t>Results</w:t>
      </w:r>
      <w:r>
        <w:rPr>
          <w:color w:val="231F20"/>
          <w:spacing w:val="-1"/>
          <w:sz w:val="14"/>
        </w:rPr>
        <w:t xml:space="preserve"> </w:t>
      </w:r>
      <w:r>
        <w:rPr>
          <w:color w:val="231F20"/>
          <w:sz w:val="14"/>
        </w:rPr>
        <w:t>are</w:t>
      </w:r>
      <w:r>
        <w:rPr>
          <w:color w:val="231F20"/>
          <w:spacing w:val="-1"/>
          <w:sz w:val="14"/>
        </w:rPr>
        <w:t xml:space="preserve"> </w:t>
      </w:r>
      <w:r>
        <w:rPr>
          <w:color w:val="231F20"/>
          <w:sz w:val="14"/>
        </w:rPr>
        <w:t>expressed</w:t>
      </w:r>
      <w:r>
        <w:rPr>
          <w:color w:val="231F20"/>
          <w:spacing w:val="40"/>
          <w:sz w:val="14"/>
        </w:rPr>
        <w:t xml:space="preserve"> </w:t>
      </w:r>
      <w:r>
        <w:rPr>
          <w:color w:val="231F20"/>
          <w:sz w:val="14"/>
        </w:rPr>
        <w:t xml:space="preserve">as mean; </w:t>
      </w:r>
      <w:r>
        <w:rPr>
          <w:i/>
          <w:color w:val="231F20"/>
          <w:sz w:val="14"/>
        </w:rPr>
        <w:t xml:space="preserve">bars, </w:t>
      </w:r>
      <w:r>
        <w:rPr>
          <w:rFonts w:ascii="Verdana" w:hAnsi="Verdana"/>
          <w:color w:val="231F20"/>
          <w:sz w:val="14"/>
        </w:rPr>
        <w:t>±</w:t>
      </w:r>
      <w:r>
        <w:rPr>
          <w:color w:val="231F20"/>
          <w:sz w:val="14"/>
        </w:rPr>
        <w:t xml:space="preserve">SD. </w:t>
      </w:r>
      <w:r>
        <w:rPr>
          <w:i/>
          <w:color w:val="231F20"/>
          <w:sz w:val="14"/>
        </w:rPr>
        <w:t xml:space="preserve">NS, </w:t>
      </w:r>
      <w:r>
        <w:rPr>
          <w:color w:val="231F20"/>
          <w:sz w:val="14"/>
        </w:rPr>
        <w:t>normal mouse skin.</w:t>
      </w:r>
    </w:p>
    <w:p w14:paraId="25274E88" w14:textId="77777777" w:rsidR="00B322A0" w:rsidRDefault="00B322A0">
      <w:pPr>
        <w:pStyle w:val="Textoindependiente"/>
        <w:spacing w:before="17"/>
        <w:ind w:left="0"/>
        <w:rPr>
          <w:sz w:val="20"/>
        </w:rPr>
      </w:pPr>
    </w:p>
    <w:p w14:paraId="6FFC8C72" w14:textId="77777777" w:rsidR="00B322A0" w:rsidRDefault="00B322A0">
      <w:pPr>
        <w:rPr>
          <w:sz w:val="20"/>
        </w:rPr>
        <w:sectPr w:rsidR="00B322A0" w:rsidSect="00BA4BCE">
          <w:pgSz w:w="11700" w:h="15660"/>
          <w:pgMar w:top="620" w:right="560" w:bottom="920" w:left="600" w:header="428" w:footer="719" w:gutter="0"/>
          <w:cols w:space="720"/>
        </w:sectPr>
      </w:pPr>
    </w:p>
    <w:p w14:paraId="46A4F7D6" w14:textId="77777777" w:rsidR="00B322A0" w:rsidRDefault="00000000">
      <w:pPr>
        <w:pStyle w:val="Textoindependiente"/>
        <w:spacing w:before="92" w:line="254" w:lineRule="auto"/>
        <w:ind w:right="38"/>
        <w:jc w:val="both"/>
      </w:pPr>
      <w:r>
        <w:rPr>
          <w:color w:val="231F20"/>
        </w:rPr>
        <w:t>their phenotype. This morphological change is associated with a striking increase in tumorigenicity, the underlying cause of which remains unresolved.</w:t>
      </w:r>
    </w:p>
    <w:p w14:paraId="41C4A17C" w14:textId="77777777" w:rsidR="00B322A0" w:rsidRDefault="00000000">
      <w:pPr>
        <w:pStyle w:val="Textoindependiente"/>
        <w:spacing w:before="2" w:line="254" w:lineRule="auto"/>
        <w:ind w:right="38" w:firstLine="180"/>
        <w:jc w:val="both"/>
      </w:pPr>
      <w:r>
        <w:rPr>
          <w:color w:val="231F20"/>
        </w:rPr>
        <w:t>Loss of 5-methylcytosine during the multistage carcinogenic proc- ess was also demonstrated by immunolocalization experiments. A high</w:t>
      </w:r>
      <w:r>
        <w:rPr>
          <w:color w:val="231F20"/>
          <w:spacing w:val="-12"/>
        </w:rPr>
        <w:t xml:space="preserve"> </w:t>
      </w:r>
      <w:r>
        <w:rPr>
          <w:color w:val="231F20"/>
        </w:rPr>
        <w:t>correlation</w:t>
      </w:r>
      <w:r>
        <w:rPr>
          <w:color w:val="231F20"/>
          <w:spacing w:val="-11"/>
        </w:rPr>
        <w:t xml:space="preserve"> </w:t>
      </w:r>
      <w:r>
        <w:rPr>
          <w:color w:val="231F20"/>
        </w:rPr>
        <w:t>between</w:t>
      </w:r>
      <w:r>
        <w:rPr>
          <w:color w:val="231F20"/>
          <w:spacing w:val="-11"/>
        </w:rPr>
        <w:t xml:space="preserve"> </w:t>
      </w:r>
      <w:r>
        <w:rPr>
          <w:color w:val="231F20"/>
        </w:rPr>
        <w:t>5-methylcytosine</w:t>
      </w:r>
      <w:r>
        <w:rPr>
          <w:color w:val="231F20"/>
          <w:spacing w:val="-11"/>
        </w:rPr>
        <w:t xml:space="preserve"> </w:t>
      </w:r>
      <w:r>
        <w:rPr>
          <w:color w:val="231F20"/>
        </w:rPr>
        <w:t>levels</w:t>
      </w:r>
      <w:r>
        <w:rPr>
          <w:color w:val="231F20"/>
          <w:spacing w:val="-12"/>
        </w:rPr>
        <w:t xml:space="preserve"> </w:t>
      </w:r>
      <w:r>
        <w:rPr>
          <w:color w:val="231F20"/>
        </w:rPr>
        <w:t>determined</w:t>
      </w:r>
      <w:r>
        <w:rPr>
          <w:color w:val="231F20"/>
          <w:spacing w:val="-11"/>
        </w:rPr>
        <w:t xml:space="preserve"> </w:t>
      </w:r>
      <w:r>
        <w:rPr>
          <w:color w:val="231F20"/>
        </w:rPr>
        <w:t>by</w:t>
      </w:r>
      <w:r>
        <w:rPr>
          <w:color w:val="231F20"/>
          <w:spacing w:val="-11"/>
        </w:rPr>
        <w:t xml:space="preserve"> </w:t>
      </w:r>
      <w:r>
        <w:rPr>
          <w:color w:val="231F20"/>
        </w:rPr>
        <w:t>either high-performance capillary electrophoresis or immunolocalization was also observed. Interestingly, immunostaining demonstrated that the</w:t>
      </w:r>
      <w:r>
        <w:rPr>
          <w:color w:val="231F20"/>
          <w:spacing w:val="-10"/>
        </w:rPr>
        <w:t xml:space="preserve"> </w:t>
      </w:r>
      <w:r>
        <w:rPr>
          <w:color w:val="231F20"/>
        </w:rPr>
        <w:t>loss</w:t>
      </w:r>
      <w:r>
        <w:rPr>
          <w:color w:val="231F20"/>
          <w:spacing w:val="-10"/>
        </w:rPr>
        <w:t xml:space="preserve"> </w:t>
      </w:r>
      <w:r>
        <w:rPr>
          <w:color w:val="231F20"/>
        </w:rPr>
        <w:t>of</w:t>
      </w:r>
      <w:r>
        <w:rPr>
          <w:color w:val="231F20"/>
          <w:spacing w:val="-10"/>
        </w:rPr>
        <w:t xml:space="preserve"> </w:t>
      </w:r>
      <w:r>
        <w:rPr>
          <w:color w:val="231F20"/>
        </w:rPr>
        <w:t>5-methylcytosine</w:t>
      </w:r>
      <w:r>
        <w:rPr>
          <w:color w:val="231F20"/>
          <w:spacing w:val="-10"/>
        </w:rPr>
        <w:t xml:space="preserve"> </w:t>
      </w:r>
      <w:r>
        <w:rPr>
          <w:color w:val="231F20"/>
        </w:rPr>
        <w:t>was</w:t>
      </w:r>
      <w:r>
        <w:rPr>
          <w:color w:val="231F20"/>
          <w:spacing w:val="-10"/>
        </w:rPr>
        <w:t xml:space="preserve"> </w:t>
      </w:r>
      <w:r>
        <w:rPr>
          <w:color w:val="231F20"/>
        </w:rPr>
        <w:t>not</w:t>
      </w:r>
      <w:r>
        <w:rPr>
          <w:color w:val="231F20"/>
          <w:spacing w:val="-10"/>
        </w:rPr>
        <w:t xml:space="preserve"> </w:t>
      </w:r>
      <w:r>
        <w:rPr>
          <w:color w:val="231F20"/>
        </w:rPr>
        <w:t>homogeneous</w:t>
      </w:r>
      <w:r>
        <w:rPr>
          <w:color w:val="231F20"/>
          <w:spacing w:val="-10"/>
        </w:rPr>
        <w:t xml:space="preserve"> </w:t>
      </w:r>
      <w:r>
        <w:rPr>
          <w:color w:val="231F20"/>
        </w:rPr>
        <w:t>within</w:t>
      </w:r>
      <w:r>
        <w:rPr>
          <w:color w:val="231F20"/>
          <w:spacing w:val="-10"/>
        </w:rPr>
        <w:t xml:space="preserve"> </w:t>
      </w:r>
      <w:r>
        <w:rPr>
          <w:color w:val="231F20"/>
        </w:rPr>
        <w:t>the</w:t>
      </w:r>
      <w:r>
        <w:rPr>
          <w:color w:val="231F20"/>
          <w:spacing w:val="-10"/>
        </w:rPr>
        <w:t xml:space="preserve"> </w:t>
      </w:r>
      <w:r>
        <w:rPr>
          <w:color w:val="231F20"/>
        </w:rPr>
        <w:t>nucleus, which is in agreement with data published previously (23).</w:t>
      </w:r>
    </w:p>
    <w:p w14:paraId="2F73FC99" w14:textId="77777777" w:rsidR="00B322A0" w:rsidRDefault="00000000">
      <w:pPr>
        <w:pStyle w:val="Textoindependiente"/>
        <w:spacing w:before="4" w:line="254" w:lineRule="auto"/>
        <w:ind w:right="38" w:firstLine="180"/>
        <w:jc w:val="both"/>
      </w:pPr>
      <w:r>
        <w:rPr>
          <w:color w:val="231F20"/>
        </w:rPr>
        <w:t>To determine whether global DNA methylation changes observed in the cell lines of the tumor progression model could be extrapolated to primary tumors, we analyzed by high-performance capillary elec- trophoresis</w:t>
      </w:r>
      <w:r>
        <w:rPr>
          <w:color w:val="231F20"/>
          <w:spacing w:val="-4"/>
        </w:rPr>
        <w:t xml:space="preserve"> </w:t>
      </w:r>
      <w:r>
        <w:rPr>
          <w:color w:val="231F20"/>
        </w:rPr>
        <w:t>the</w:t>
      </w:r>
      <w:r>
        <w:rPr>
          <w:color w:val="231F20"/>
          <w:spacing w:val="-4"/>
        </w:rPr>
        <w:t xml:space="preserve"> </w:t>
      </w:r>
      <w:r>
        <w:rPr>
          <w:color w:val="231F20"/>
        </w:rPr>
        <w:t>5-methylcytosine</w:t>
      </w:r>
      <w:r>
        <w:rPr>
          <w:color w:val="231F20"/>
          <w:spacing w:val="-4"/>
        </w:rPr>
        <w:t xml:space="preserve"> </w:t>
      </w:r>
      <w:r>
        <w:rPr>
          <w:color w:val="231F20"/>
        </w:rPr>
        <w:t>content</w:t>
      </w:r>
      <w:r>
        <w:rPr>
          <w:color w:val="231F20"/>
          <w:spacing w:val="-4"/>
        </w:rPr>
        <w:t xml:space="preserve"> </w:t>
      </w:r>
      <w:r>
        <w:rPr>
          <w:color w:val="231F20"/>
        </w:rPr>
        <w:t>of</w:t>
      </w:r>
      <w:r>
        <w:rPr>
          <w:color w:val="231F20"/>
          <w:spacing w:val="-4"/>
        </w:rPr>
        <w:t xml:space="preserve"> </w:t>
      </w:r>
      <w:r>
        <w:rPr>
          <w:color w:val="231F20"/>
        </w:rPr>
        <w:t>a</w:t>
      </w:r>
      <w:r>
        <w:rPr>
          <w:color w:val="231F20"/>
          <w:spacing w:val="-4"/>
        </w:rPr>
        <w:t xml:space="preserve"> </w:t>
      </w:r>
      <w:r>
        <w:rPr>
          <w:color w:val="231F20"/>
        </w:rPr>
        <w:t>series</w:t>
      </w:r>
      <w:r>
        <w:rPr>
          <w:color w:val="231F20"/>
          <w:spacing w:val="-4"/>
        </w:rPr>
        <w:t xml:space="preserve"> </w:t>
      </w:r>
      <w:r>
        <w:rPr>
          <w:color w:val="231F20"/>
        </w:rPr>
        <w:t>of</w:t>
      </w:r>
      <w:r>
        <w:rPr>
          <w:color w:val="231F20"/>
          <w:spacing w:val="-4"/>
        </w:rPr>
        <w:t xml:space="preserve"> </w:t>
      </w:r>
      <w:r>
        <w:rPr>
          <w:color w:val="231F20"/>
        </w:rPr>
        <w:t>primary</w:t>
      </w:r>
      <w:r>
        <w:rPr>
          <w:color w:val="231F20"/>
          <w:spacing w:val="-4"/>
        </w:rPr>
        <w:t xml:space="preserve"> </w:t>
      </w:r>
      <w:r>
        <w:rPr>
          <w:color w:val="231F20"/>
        </w:rPr>
        <w:t>mouse papillomas, squamous carcinomas, and spindle carcinomas (Fig. 1</w:t>
      </w:r>
      <w:r>
        <w:rPr>
          <w:i/>
          <w:color w:val="231F20"/>
        </w:rPr>
        <w:t>B</w:t>
      </w:r>
      <w:r>
        <w:rPr>
          <w:color w:val="231F20"/>
        </w:rPr>
        <w:t>). The data demonstrated that these skin primary tumors were hypo- methylated at their DNA when compared with the normal skin. In addition,</w:t>
      </w:r>
      <w:r>
        <w:rPr>
          <w:color w:val="231F20"/>
          <w:spacing w:val="40"/>
        </w:rPr>
        <w:t xml:space="preserve"> </w:t>
      </w:r>
      <w:r>
        <w:rPr>
          <w:color w:val="231F20"/>
        </w:rPr>
        <w:t>the</w:t>
      </w:r>
      <w:r>
        <w:rPr>
          <w:color w:val="231F20"/>
          <w:spacing w:val="40"/>
        </w:rPr>
        <w:t xml:space="preserve"> </w:t>
      </w:r>
      <w:r>
        <w:rPr>
          <w:color w:val="231F20"/>
        </w:rPr>
        <w:t>most</w:t>
      </w:r>
      <w:r>
        <w:rPr>
          <w:color w:val="231F20"/>
          <w:spacing w:val="40"/>
        </w:rPr>
        <w:t xml:space="preserve"> </w:t>
      </w:r>
      <w:r>
        <w:rPr>
          <w:color w:val="231F20"/>
        </w:rPr>
        <w:t>hypomethylated</w:t>
      </w:r>
      <w:r>
        <w:rPr>
          <w:color w:val="231F20"/>
          <w:spacing w:val="40"/>
        </w:rPr>
        <w:t xml:space="preserve"> </w:t>
      </w:r>
      <w:r>
        <w:rPr>
          <w:color w:val="231F20"/>
        </w:rPr>
        <w:t>tumors</w:t>
      </w:r>
      <w:r>
        <w:rPr>
          <w:color w:val="231F20"/>
          <w:spacing w:val="40"/>
        </w:rPr>
        <w:t xml:space="preserve"> </w:t>
      </w:r>
      <w:r>
        <w:rPr>
          <w:color w:val="231F20"/>
        </w:rPr>
        <w:t>were</w:t>
      </w:r>
      <w:r>
        <w:rPr>
          <w:color w:val="231F20"/>
          <w:spacing w:val="40"/>
        </w:rPr>
        <w:t xml:space="preserve"> </w:t>
      </w:r>
      <w:r>
        <w:rPr>
          <w:color w:val="231F20"/>
        </w:rPr>
        <w:t>those</w:t>
      </w:r>
      <w:r>
        <w:rPr>
          <w:color w:val="231F20"/>
          <w:spacing w:val="40"/>
        </w:rPr>
        <w:t xml:space="preserve"> </w:t>
      </w:r>
      <w:r>
        <w:rPr>
          <w:color w:val="231F20"/>
        </w:rPr>
        <w:t>presenting the most aggressive behavior, spindle carcinomas, in a close resem- blance to our findings in the cancer cell lines. Very little decrease in methylation was detected in the primary papillomas in contrast to the results from the cell lines, but this may be due to the fact these are contaminated by stromal cells or inflammatory cells, reducing the apparent total amount of demethylation. The more cellular squamous and spindle carcinomas, however, showed a clear decrease in 5- methylcytosine content.</w:t>
      </w:r>
    </w:p>
    <w:p w14:paraId="0FAE384D" w14:textId="77777777" w:rsidR="00B322A0" w:rsidRDefault="00000000">
      <w:pPr>
        <w:spacing w:before="10" w:line="254" w:lineRule="auto"/>
        <w:ind w:left="103" w:right="38" w:firstLine="180"/>
        <w:jc w:val="both"/>
        <w:rPr>
          <w:sz w:val="18"/>
        </w:rPr>
      </w:pPr>
      <w:r>
        <w:rPr>
          <w:b/>
          <w:color w:val="231F20"/>
          <w:sz w:val="18"/>
        </w:rPr>
        <w:t>Analysis of Methylation-Associated Silencing of Candidate Tumor</w:t>
      </w:r>
      <w:r>
        <w:rPr>
          <w:b/>
          <w:color w:val="231F20"/>
          <w:spacing w:val="40"/>
          <w:sz w:val="18"/>
        </w:rPr>
        <w:t xml:space="preserve"> </w:t>
      </w:r>
      <w:r>
        <w:rPr>
          <w:b/>
          <w:color w:val="231F20"/>
          <w:sz w:val="18"/>
        </w:rPr>
        <w:t>Suppressor</w:t>
      </w:r>
      <w:r>
        <w:rPr>
          <w:b/>
          <w:color w:val="231F20"/>
          <w:spacing w:val="40"/>
          <w:sz w:val="18"/>
        </w:rPr>
        <w:t xml:space="preserve"> </w:t>
      </w:r>
      <w:r>
        <w:rPr>
          <w:b/>
          <w:color w:val="231F20"/>
          <w:sz w:val="18"/>
        </w:rPr>
        <w:t>Genes</w:t>
      </w:r>
      <w:r>
        <w:rPr>
          <w:b/>
          <w:color w:val="231F20"/>
          <w:spacing w:val="40"/>
          <w:sz w:val="18"/>
        </w:rPr>
        <w:t xml:space="preserve"> </w:t>
      </w:r>
      <w:r>
        <w:rPr>
          <w:b/>
          <w:color w:val="231F20"/>
          <w:sz w:val="18"/>
        </w:rPr>
        <w:t>in</w:t>
      </w:r>
      <w:r>
        <w:rPr>
          <w:b/>
          <w:color w:val="231F20"/>
          <w:spacing w:val="40"/>
          <w:sz w:val="18"/>
        </w:rPr>
        <w:t xml:space="preserve"> </w:t>
      </w:r>
      <w:r>
        <w:rPr>
          <w:b/>
          <w:color w:val="231F20"/>
          <w:sz w:val="18"/>
        </w:rPr>
        <w:t>Mouse</w:t>
      </w:r>
      <w:r>
        <w:rPr>
          <w:b/>
          <w:color w:val="231F20"/>
          <w:spacing w:val="40"/>
          <w:sz w:val="18"/>
        </w:rPr>
        <w:t xml:space="preserve"> </w:t>
      </w:r>
      <w:r>
        <w:rPr>
          <w:b/>
          <w:color w:val="231F20"/>
          <w:sz w:val="18"/>
        </w:rPr>
        <w:t>Skin</w:t>
      </w:r>
      <w:r>
        <w:rPr>
          <w:b/>
          <w:color w:val="231F20"/>
          <w:spacing w:val="40"/>
          <w:sz w:val="18"/>
        </w:rPr>
        <w:t xml:space="preserve"> </w:t>
      </w:r>
      <w:r>
        <w:rPr>
          <w:b/>
          <w:color w:val="231F20"/>
          <w:sz w:val="18"/>
        </w:rPr>
        <w:t>Cancer</w:t>
      </w:r>
      <w:r>
        <w:rPr>
          <w:b/>
          <w:color w:val="231F20"/>
          <w:spacing w:val="40"/>
          <w:sz w:val="18"/>
        </w:rPr>
        <w:t xml:space="preserve"> </w:t>
      </w:r>
      <w:r>
        <w:rPr>
          <w:b/>
          <w:color w:val="231F20"/>
          <w:sz w:val="18"/>
        </w:rPr>
        <w:t>Cell</w:t>
      </w:r>
      <w:r>
        <w:rPr>
          <w:b/>
          <w:color w:val="231F20"/>
          <w:spacing w:val="40"/>
          <w:sz w:val="18"/>
        </w:rPr>
        <w:t xml:space="preserve"> </w:t>
      </w:r>
      <w:r>
        <w:rPr>
          <w:b/>
          <w:color w:val="231F20"/>
          <w:sz w:val="18"/>
        </w:rPr>
        <w:t xml:space="preserve">Lines. </w:t>
      </w:r>
      <w:r>
        <w:rPr>
          <w:color w:val="231F20"/>
          <w:sz w:val="18"/>
        </w:rPr>
        <w:t>To define a profile of tumor suppressor genes with methylation- associated silencing in the multistage mouse skin progression model, we analyzed the methylation status of the promoter-associated CpG island</w:t>
      </w:r>
      <w:r>
        <w:rPr>
          <w:color w:val="231F20"/>
          <w:spacing w:val="28"/>
          <w:sz w:val="18"/>
        </w:rPr>
        <w:t xml:space="preserve"> </w:t>
      </w:r>
      <w:r>
        <w:rPr>
          <w:color w:val="231F20"/>
          <w:sz w:val="18"/>
        </w:rPr>
        <w:t>of</w:t>
      </w:r>
      <w:r>
        <w:rPr>
          <w:color w:val="231F20"/>
          <w:spacing w:val="28"/>
          <w:sz w:val="18"/>
        </w:rPr>
        <w:t xml:space="preserve"> </w:t>
      </w:r>
      <w:r>
        <w:rPr>
          <w:color w:val="231F20"/>
          <w:sz w:val="18"/>
        </w:rPr>
        <w:t>six</w:t>
      </w:r>
      <w:r>
        <w:rPr>
          <w:color w:val="231F20"/>
          <w:spacing w:val="28"/>
          <w:sz w:val="18"/>
        </w:rPr>
        <w:t xml:space="preserve"> </w:t>
      </w:r>
      <w:r>
        <w:rPr>
          <w:color w:val="231F20"/>
          <w:sz w:val="18"/>
        </w:rPr>
        <w:t>genes</w:t>
      </w:r>
      <w:r>
        <w:rPr>
          <w:color w:val="231F20"/>
          <w:spacing w:val="28"/>
          <w:sz w:val="18"/>
        </w:rPr>
        <w:t xml:space="preserve"> </w:t>
      </w:r>
      <w:r>
        <w:rPr>
          <w:color w:val="231F20"/>
          <w:sz w:val="18"/>
        </w:rPr>
        <w:t>known</w:t>
      </w:r>
      <w:r>
        <w:rPr>
          <w:color w:val="231F20"/>
          <w:spacing w:val="28"/>
          <w:sz w:val="18"/>
        </w:rPr>
        <w:t xml:space="preserve"> </w:t>
      </w:r>
      <w:r>
        <w:rPr>
          <w:color w:val="231F20"/>
          <w:sz w:val="18"/>
        </w:rPr>
        <w:t>to</w:t>
      </w:r>
      <w:r>
        <w:rPr>
          <w:color w:val="231F20"/>
          <w:spacing w:val="28"/>
          <w:sz w:val="18"/>
        </w:rPr>
        <w:t xml:space="preserve"> </w:t>
      </w:r>
      <w:r>
        <w:rPr>
          <w:color w:val="231F20"/>
          <w:sz w:val="18"/>
        </w:rPr>
        <w:t>be</w:t>
      </w:r>
      <w:r>
        <w:rPr>
          <w:color w:val="231F20"/>
          <w:spacing w:val="28"/>
          <w:sz w:val="18"/>
        </w:rPr>
        <w:t xml:space="preserve"> </w:t>
      </w:r>
      <w:r>
        <w:rPr>
          <w:color w:val="231F20"/>
          <w:sz w:val="18"/>
        </w:rPr>
        <w:t>hypermethylated</w:t>
      </w:r>
      <w:r>
        <w:rPr>
          <w:color w:val="231F20"/>
          <w:spacing w:val="28"/>
          <w:sz w:val="18"/>
        </w:rPr>
        <w:t xml:space="preserve"> </w:t>
      </w:r>
      <w:r>
        <w:rPr>
          <w:color w:val="231F20"/>
          <w:sz w:val="18"/>
        </w:rPr>
        <w:t>in</w:t>
      </w:r>
      <w:r>
        <w:rPr>
          <w:color w:val="231F20"/>
          <w:spacing w:val="28"/>
          <w:sz w:val="18"/>
        </w:rPr>
        <w:t xml:space="preserve"> </w:t>
      </w:r>
      <w:r>
        <w:rPr>
          <w:color w:val="231F20"/>
          <w:sz w:val="18"/>
        </w:rPr>
        <w:t>human</w:t>
      </w:r>
      <w:r>
        <w:rPr>
          <w:color w:val="231F20"/>
          <w:spacing w:val="28"/>
          <w:sz w:val="18"/>
        </w:rPr>
        <w:t xml:space="preserve"> </w:t>
      </w:r>
      <w:r>
        <w:rPr>
          <w:color w:val="231F20"/>
          <w:spacing w:val="-2"/>
          <w:sz w:val="18"/>
        </w:rPr>
        <w:t>cancer</w:t>
      </w:r>
    </w:p>
    <w:p w14:paraId="29B296B9" w14:textId="77777777" w:rsidR="00B322A0" w:rsidRDefault="00000000">
      <w:pPr>
        <w:pStyle w:val="Textoindependiente"/>
        <w:spacing w:before="92" w:line="264" w:lineRule="auto"/>
        <w:ind w:right="113"/>
        <w:jc w:val="both"/>
      </w:pPr>
      <w:r>
        <w:br w:type="column"/>
      </w:r>
      <w:r>
        <w:rPr>
          <w:color w:val="231F20"/>
        </w:rPr>
        <w:t xml:space="preserve">(1–3). These were the DNA repair genes </w:t>
      </w:r>
      <w:r>
        <w:rPr>
          <w:i/>
          <w:color w:val="231F20"/>
        </w:rPr>
        <w:t xml:space="preserve">MLH1, BRCA1, </w:t>
      </w:r>
      <w:r>
        <w:rPr>
          <w:color w:val="231F20"/>
        </w:rPr>
        <w:t xml:space="preserve">and </w:t>
      </w:r>
      <w:r>
        <w:rPr>
          <w:i/>
          <w:color w:val="231F20"/>
        </w:rPr>
        <w:t xml:space="preserve">MGMT </w:t>
      </w:r>
      <w:r>
        <w:rPr>
          <w:color w:val="231F20"/>
        </w:rPr>
        <w:t>(</w:t>
      </w:r>
      <w:r>
        <w:rPr>
          <w:i/>
          <w:color w:val="231F20"/>
        </w:rPr>
        <w:t>O</w:t>
      </w:r>
      <w:r>
        <w:rPr>
          <w:color w:val="231F20"/>
          <w:vertAlign w:val="superscript"/>
        </w:rPr>
        <w:t>6</w:t>
      </w:r>
      <w:r>
        <w:rPr>
          <w:color w:val="231F20"/>
        </w:rPr>
        <w:t xml:space="preserve">-methylguanine DNA methyltransferase), the cellular adhesion- related gene </w:t>
      </w:r>
      <w:r>
        <w:rPr>
          <w:i/>
          <w:color w:val="231F20"/>
        </w:rPr>
        <w:t xml:space="preserve">E-cadherin, </w:t>
      </w:r>
      <w:r>
        <w:rPr>
          <w:color w:val="231F20"/>
        </w:rPr>
        <w:t xml:space="preserve">the transcriptional repressor </w:t>
      </w:r>
      <w:r>
        <w:rPr>
          <w:i/>
          <w:color w:val="231F20"/>
        </w:rPr>
        <w:t xml:space="preserve">Snail, </w:t>
      </w:r>
      <w:r>
        <w:rPr>
          <w:color w:val="231F20"/>
        </w:rPr>
        <w:t>and the Snail/Gfi-1 repressor family member (</w:t>
      </w:r>
      <w:r>
        <w:rPr>
          <w:i/>
          <w:color w:val="231F20"/>
        </w:rPr>
        <w:t>MLT1</w:t>
      </w:r>
      <w:r>
        <w:rPr>
          <w:color w:val="231F20"/>
        </w:rPr>
        <w:t>). The DNA methylation patterns were characterized by bisulfite genomic sequencing and methylation-specific PCR. Four of these genes (</w:t>
      </w:r>
      <w:r>
        <w:rPr>
          <w:i/>
          <w:color w:val="231F20"/>
        </w:rPr>
        <w:t>MGMT, Snail</w:t>
      </w:r>
      <w:r>
        <w:rPr>
          <w:color w:val="231F20"/>
        </w:rPr>
        <w:t xml:space="preserve">, </w:t>
      </w:r>
      <w:r>
        <w:rPr>
          <w:i/>
          <w:color w:val="231F20"/>
        </w:rPr>
        <w:t xml:space="preserve">E- cadherin, </w:t>
      </w:r>
      <w:r>
        <w:rPr>
          <w:color w:val="231F20"/>
        </w:rPr>
        <w:t xml:space="preserve">and </w:t>
      </w:r>
      <w:r>
        <w:rPr>
          <w:i/>
          <w:color w:val="231F20"/>
        </w:rPr>
        <w:t>MLT1</w:t>
      </w:r>
      <w:r>
        <w:rPr>
          <w:color w:val="231F20"/>
        </w:rPr>
        <w:t>) were found methylated in the mouse skin carcinogenesis model (Table 1). Methylation of the promoter regions was always associated with transcriptional silencing, and expression could be restored with the use of the demethylating agent 5-aza-2- deoxycytidine. An illustrative example of the DNA methylation and expression analysis developed is shown in Fig. 2.</w:t>
      </w:r>
    </w:p>
    <w:p w14:paraId="434D0C40" w14:textId="77777777" w:rsidR="00B322A0" w:rsidRDefault="00000000">
      <w:pPr>
        <w:pStyle w:val="Textoindependiente"/>
        <w:spacing w:line="264" w:lineRule="auto"/>
        <w:ind w:right="113" w:firstLine="180"/>
        <w:jc w:val="both"/>
      </w:pPr>
      <w:r>
        <w:rPr>
          <w:color w:val="231F20"/>
        </w:rPr>
        <w:t>Three of the four genes identified as methylated (</w:t>
      </w:r>
      <w:r>
        <w:rPr>
          <w:i/>
          <w:color w:val="231F20"/>
        </w:rPr>
        <w:t xml:space="preserve">MGMT, MLT1, </w:t>
      </w:r>
      <w:r>
        <w:rPr>
          <w:color w:val="231F20"/>
        </w:rPr>
        <w:t xml:space="preserve">and </w:t>
      </w:r>
      <w:r>
        <w:rPr>
          <w:i/>
          <w:color w:val="231F20"/>
        </w:rPr>
        <w:t>Snail</w:t>
      </w:r>
      <w:r>
        <w:rPr>
          <w:color w:val="231F20"/>
        </w:rPr>
        <w:t>) underwent hypermethylation at the beginning of the car- cinogenic process, during the transition from fresh normal skin to immortalized nontumorigenic keratinocytes (MCA3D; Table 1).</w:t>
      </w:r>
      <w:r>
        <w:rPr>
          <w:color w:val="231F20"/>
          <w:spacing w:val="40"/>
        </w:rPr>
        <w:t xml:space="preserve"> </w:t>
      </w:r>
      <w:r>
        <w:rPr>
          <w:color w:val="231F20"/>
        </w:rPr>
        <w:t>Thus, CpG island hypermethylation of candidate tumor suppressor genes is an early event in tumorigenesis.</w:t>
      </w:r>
    </w:p>
    <w:p w14:paraId="7DDBD34E" w14:textId="77777777" w:rsidR="00B322A0" w:rsidRDefault="00000000">
      <w:pPr>
        <w:pStyle w:val="Textoindependiente"/>
        <w:spacing w:line="264" w:lineRule="auto"/>
        <w:ind w:right="113" w:firstLine="180"/>
        <w:jc w:val="both"/>
      </w:pPr>
      <w:r>
        <w:rPr>
          <w:color w:val="231F20"/>
        </w:rPr>
        <w:t xml:space="preserve">In contrast, </w:t>
      </w:r>
      <w:r>
        <w:rPr>
          <w:i/>
          <w:color w:val="231F20"/>
        </w:rPr>
        <w:t xml:space="preserve">E-cadherin </w:t>
      </w:r>
      <w:r>
        <w:rPr>
          <w:color w:val="231F20"/>
        </w:rPr>
        <w:t xml:space="preserve">hypermethylation occurred in the latter stages of tumor progression coinciding with loss of epithelial pheno- type (Table 1). Hypermethylation-associated silencing of </w:t>
      </w:r>
      <w:r>
        <w:rPr>
          <w:i/>
          <w:color w:val="231F20"/>
        </w:rPr>
        <w:t xml:space="preserve">E-cadherin </w:t>
      </w:r>
      <w:r>
        <w:rPr>
          <w:color w:val="231F20"/>
        </w:rPr>
        <w:t>is</w:t>
      </w:r>
      <w:r>
        <w:rPr>
          <w:color w:val="231F20"/>
          <w:spacing w:val="-8"/>
        </w:rPr>
        <w:t xml:space="preserve"> </w:t>
      </w:r>
      <w:r>
        <w:rPr>
          <w:color w:val="231F20"/>
        </w:rPr>
        <w:t>found</w:t>
      </w:r>
      <w:r>
        <w:rPr>
          <w:color w:val="231F20"/>
          <w:spacing w:val="-8"/>
        </w:rPr>
        <w:t xml:space="preserve"> </w:t>
      </w:r>
      <w:r>
        <w:rPr>
          <w:color w:val="231F20"/>
        </w:rPr>
        <w:t>in</w:t>
      </w:r>
      <w:r>
        <w:rPr>
          <w:color w:val="231F20"/>
          <w:spacing w:val="-8"/>
        </w:rPr>
        <w:t xml:space="preserve"> </w:t>
      </w:r>
      <w:r>
        <w:rPr>
          <w:color w:val="231F20"/>
        </w:rPr>
        <w:t>human</w:t>
      </w:r>
      <w:r>
        <w:rPr>
          <w:color w:val="231F20"/>
          <w:spacing w:val="-8"/>
        </w:rPr>
        <w:t xml:space="preserve"> </w:t>
      </w:r>
      <w:r>
        <w:rPr>
          <w:color w:val="231F20"/>
        </w:rPr>
        <w:t>tumors</w:t>
      </w:r>
      <w:r>
        <w:rPr>
          <w:color w:val="231F20"/>
          <w:spacing w:val="-8"/>
        </w:rPr>
        <w:t xml:space="preserve"> </w:t>
      </w:r>
      <w:r>
        <w:rPr>
          <w:color w:val="231F20"/>
        </w:rPr>
        <w:t>(1–3),</w:t>
      </w:r>
      <w:r>
        <w:rPr>
          <w:color w:val="231F20"/>
          <w:spacing w:val="-8"/>
        </w:rPr>
        <w:t xml:space="preserve"> </w:t>
      </w:r>
      <w:r>
        <w:rPr>
          <w:color w:val="231F20"/>
        </w:rPr>
        <w:t>but</w:t>
      </w:r>
      <w:r>
        <w:rPr>
          <w:color w:val="231F20"/>
          <w:spacing w:val="-8"/>
        </w:rPr>
        <w:t xml:space="preserve"> </w:t>
      </w:r>
      <w:r>
        <w:rPr>
          <w:color w:val="231F20"/>
        </w:rPr>
        <w:t>loss</w:t>
      </w:r>
      <w:r>
        <w:rPr>
          <w:color w:val="231F20"/>
          <w:spacing w:val="-8"/>
        </w:rPr>
        <w:t xml:space="preserve"> </w:t>
      </w:r>
      <w:r>
        <w:rPr>
          <w:color w:val="231F20"/>
        </w:rPr>
        <w:t>of</w:t>
      </w:r>
      <w:r>
        <w:rPr>
          <w:color w:val="231F20"/>
          <w:spacing w:val="-8"/>
        </w:rPr>
        <w:t xml:space="preserve"> </w:t>
      </w:r>
      <w:r>
        <w:rPr>
          <w:i/>
          <w:color w:val="231F20"/>
        </w:rPr>
        <w:t>E-cadherin</w:t>
      </w:r>
      <w:r>
        <w:rPr>
          <w:i/>
          <w:color w:val="231F20"/>
          <w:spacing w:val="-8"/>
        </w:rPr>
        <w:t xml:space="preserve"> </w:t>
      </w:r>
      <w:r>
        <w:rPr>
          <w:color w:val="231F20"/>
        </w:rPr>
        <w:t>expression</w:t>
      </w:r>
      <w:r>
        <w:rPr>
          <w:color w:val="231F20"/>
          <w:spacing w:val="-8"/>
        </w:rPr>
        <w:t xml:space="preserve"> </w:t>
      </w:r>
      <w:r>
        <w:rPr>
          <w:color w:val="231F20"/>
        </w:rPr>
        <w:t>can also</w:t>
      </w:r>
      <w:r>
        <w:rPr>
          <w:color w:val="231F20"/>
          <w:spacing w:val="-3"/>
        </w:rPr>
        <w:t xml:space="preserve"> </w:t>
      </w:r>
      <w:r>
        <w:rPr>
          <w:color w:val="231F20"/>
        </w:rPr>
        <w:t>result</w:t>
      </w:r>
      <w:r>
        <w:rPr>
          <w:color w:val="231F20"/>
          <w:spacing w:val="-3"/>
        </w:rPr>
        <w:t xml:space="preserve"> </w:t>
      </w:r>
      <w:r>
        <w:rPr>
          <w:color w:val="231F20"/>
        </w:rPr>
        <w:t>from</w:t>
      </w:r>
      <w:r>
        <w:rPr>
          <w:color w:val="231F20"/>
          <w:spacing w:val="-3"/>
        </w:rPr>
        <w:t xml:space="preserve"> </w:t>
      </w:r>
      <w:r>
        <w:rPr>
          <w:color w:val="231F20"/>
        </w:rPr>
        <w:t>the</w:t>
      </w:r>
      <w:r>
        <w:rPr>
          <w:color w:val="231F20"/>
          <w:spacing w:val="-3"/>
        </w:rPr>
        <w:t xml:space="preserve"> </w:t>
      </w:r>
      <w:r>
        <w:rPr>
          <w:color w:val="231F20"/>
        </w:rPr>
        <w:t>activity</w:t>
      </w:r>
      <w:r>
        <w:rPr>
          <w:color w:val="231F20"/>
          <w:spacing w:val="-3"/>
        </w:rPr>
        <w:t xml:space="preserve"> </w:t>
      </w:r>
      <w:r>
        <w:rPr>
          <w:color w:val="231F20"/>
        </w:rPr>
        <w:t>of</w:t>
      </w:r>
      <w:r>
        <w:rPr>
          <w:color w:val="231F20"/>
          <w:spacing w:val="-3"/>
        </w:rPr>
        <w:t xml:space="preserve"> </w:t>
      </w:r>
      <w:r>
        <w:rPr>
          <w:color w:val="231F20"/>
        </w:rPr>
        <w:t>the</w:t>
      </w:r>
      <w:r>
        <w:rPr>
          <w:color w:val="231F20"/>
          <w:spacing w:val="-3"/>
        </w:rPr>
        <w:t xml:space="preserve"> </w:t>
      </w:r>
      <w:r>
        <w:rPr>
          <w:color w:val="231F20"/>
        </w:rPr>
        <w:t>transcriptional</w:t>
      </w:r>
      <w:r>
        <w:rPr>
          <w:color w:val="231F20"/>
          <w:spacing w:val="-3"/>
        </w:rPr>
        <w:t xml:space="preserve"> </w:t>
      </w:r>
      <w:r>
        <w:rPr>
          <w:color w:val="231F20"/>
        </w:rPr>
        <w:t>repressor</w:t>
      </w:r>
      <w:r>
        <w:rPr>
          <w:color w:val="231F20"/>
          <w:spacing w:val="-3"/>
        </w:rPr>
        <w:t xml:space="preserve"> </w:t>
      </w:r>
      <w:r>
        <w:rPr>
          <w:color w:val="231F20"/>
        </w:rPr>
        <w:t>Snail</w:t>
      </w:r>
      <w:r>
        <w:rPr>
          <w:color w:val="231F20"/>
          <w:spacing w:val="-3"/>
        </w:rPr>
        <w:t xml:space="preserve"> </w:t>
      </w:r>
      <w:r>
        <w:rPr>
          <w:color w:val="231F20"/>
        </w:rPr>
        <w:t xml:space="preserve">(24). The </w:t>
      </w:r>
      <w:r>
        <w:rPr>
          <w:i/>
          <w:color w:val="231F20"/>
        </w:rPr>
        <w:t xml:space="preserve">Snail </w:t>
      </w:r>
      <w:r>
        <w:rPr>
          <w:color w:val="231F20"/>
        </w:rPr>
        <w:t>gene was also found to undergo epigenetic inactivation but in</w:t>
      </w:r>
      <w:r>
        <w:rPr>
          <w:color w:val="231F20"/>
          <w:spacing w:val="-3"/>
        </w:rPr>
        <w:t xml:space="preserve"> </w:t>
      </w:r>
      <w:r>
        <w:rPr>
          <w:color w:val="231F20"/>
        </w:rPr>
        <w:t>a</w:t>
      </w:r>
      <w:r>
        <w:rPr>
          <w:color w:val="231F20"/>
          <w:spacing w:val="-3"/>
        </w:rPr>
        <w:t xml:space="preserve"> </w:t>
      </w:r>
      <w:r>
        <w:rPr>
          <w:color w:val="231F20"/>
        </w:rPr>
        <w:t>different</w:t>
      </w:r>
      <w:r>
        <w:rPr>
          <w:color w:val="231F20"/>
          <w:spacing w:val="-3"/>
        </w:rPr>
        <w:t xml:space="preserve"> </w:t>
      </w:r>
      <w:r>
        <w:rPr>
          <w:color w:val="231F20"/>
        </w:rPr>
        <w:t>context</w:t>
      </w:r>
      <w:r>
        <w:rPr>
          <w:color w:val="231F20"/>
          <w:spacing w:val="-3"/>
        </w:rPr>
        <w:t xml:space="preserve"> </w:t>
      </w:r>
      <w:r>
        <w:rPr>
          <w:color w:val="231F20"/>
        </w:rPr>
        <w:t>to</w:t>
      </w:r>
      <w:r>
        <w:rPr>
          <w:color w:val="231F20"/>
          <w:spacing w:val="-3"/>
        </w:rPr>
        <w:t xml:space="preserve"> </w:t>
      </w:r>
      <w:r>
        <w:rPr>
          <w:color w:val="231F20"/>
        </w:rPr>
        <w:t>that</w:t>
      </w:r>
      <w:r>
        <w:rPr>
          <w:color w:val="231F20"/>
          <w:spacing w:val="-3"/>
        </w:rPr>
        <w:t xml:space="preserve"> </w:t>
      </w:r>
      <w:r>
        <w:rPr>
          <w:color w:val="231F20"/>
        </w:rPr>
        <w:t>of</w:t>
      </w:r>
      <w:r>
        <w:rPr>
          <w:color w:val="231F20"/>
          <w:spacing w:val="-3"/>
        </w:rPr>
        <w:t xml:space="preserve"> </w:t>
      </w:r>
      <w:r>
        <w:rPr>
          <w:color w:val="231F20"/>
        </w:rPr>
        <w:t>the</w:t>
      </w:r>
      <w:r>
        <w:rPr>
          <w:color w:val="231F20"/>
          <w:spacing w:val="-3"/>
        </w:rPr>
        <w:t xml:space="preserve"> </w:t>
      </w:r>
      <w:r>
        <w:rPr>
          <w:i/>
          <w:color w:val="231F20"/>
        </w:rPr>
        <w:t>E-cadherin</w:t>
      </w:r>
      <w:r>
        <w:rPr>
          <w:i/>
          <w:color w:val="231F20"/>
          <w:spacing w:val="-3"/>
        </w:rPr>
        <w:t xml:space="preserve"> </w:t>
      </w:r>
      <w:r>
        <w:rPr>
          <w:color w:val="231F20"/>
        </w:rPr>
        <w:t>promoter.</w:t>
      </w:r>
      <w:r>
        <w:rPr>
          <w:color w:val="231F20"/>
          <w:spacing w:val="-3"/>
        </w:rPr>
        <w:t xml:space="preserve"> </w:t>
      </w:r>
      <w:r>
        <w:rPr>
          <w:color w:val="231F20"/>
        </w:rPr>
        <w:t>During</w:t>
      </w:r>
      <w:r>
        <w:rPr>
          <w:color w:val="231F20"/>
          <w:spacing w:val="-3"/>
        </w:rPr>
        <w:t xml:space="preserve"> </w:t>
      </w:r>
      <w:r>
        <w:rPr>
          <w:color w:val="231F20"/>
        </w:rPr>
        <w:t xml:space="preserve">early stages of tumorigenesis the </w:t>
      </w:r>
      <w:r>
        <w:rPr>
          <w:i/>
          <w:color w:val="231F20"/>
        </w:rPr>
        <w:t xml:space="preserve">E-cadherin </w:t>
      </w:r>
      <w:r>
        <w:rPr>
          <w:color w:val="231F20"/>
        </w:rPr>
        <w:t xml:space="preserve">and </w:t>
      </w:r>
      <w:r>
        <w:rPr>
          <w:i/>
          <w:color w:val="231F20"/>
        </w:rPr>
        <w:t xml:space="preserve">Snail </w:t>
      </w:r>
      <w:r>
        <w:rPr>
          <w:color w:val="231F20"/>
        </w:rPr>
        <w:t xml:space="preserve">CpG islands are unmethylated and hypermethylated, respectively. However, when the transition from an epithelial (MSC11B9) to spindle (MSC11A5) or dedifferentiated (HaCa4) phenotype occurs, the </w:t>
      </w:r>
      <w:r>
        <w:rPr>
          <w:i/>
          <w:color w:val="231F20"/>
        </w:rPr>
        <w:t xml:space="preserve">E-cadherin </w:t>
      </w:r>
      <w:r>
        <w:rPr>
          <w:color w:val="231F20"/>
        </w:rPr>
        <w:t xml:space="preserve">promoter becomes hypermethylated, whereas the </w:t>
      </w:r>
      <w:r>
        <w:rPr>
          <w:i/>
          <w:color w:val="231F20"/>
        </w:rPr>
        <w:t xml:space="preserve">Snail </w:t>
      </w:r>
      <w:r>
        <w:rPr>
          <w:color w:val="231F20"/>
        </w:rPr>
        <w:t>island undergoes dem- ethylation</w:t>
      </w:r>
      <w:r>
        <w:rPr>
          <w:color w:val="231F20"/>
          <w:spacing w:val="28"/>
        </w:rPr>
        <w:t xml:space="preserve"> </w:t>
      </w:r>
      <w:r>
        <w:rPr>
          <w:color w:val="231F20"/>
        </w:rPr>
        <w:t>(Table</w:t>
      </w:r>
      <w:r>
        <w:rPr>
          <w:color w:val="231F20"/>
          <w:spacing w:val="28"/>
        </w:rPr>
        <w:t xml:space="preserve"> </w:t>
      </w:r>
      <w:r>
        <w:rPr>
          <w:color w:val="231F20"/>
        </w:rPr>
        <w:t>1).</w:t>
      </w:r>
      <w:r>
        <w:rPr>
          <w:color w:val="231F20"/>
          <w:spacing w:val="28"/>
        </w:rPr>
        <w:t xml:space="preserve"> </w:t>
      </w:r>
      <w:r>
        <w:rPr>
          <w:color w:val="231F20"/>
        </w:rPr>
        <w:t>For</w:t>
      </w:r>
      <w:r>
        <w:rPr>
          <w:color w:val="231F20"/>
          <w:spacing w:val="28"/>
        </w:rPr>
        <w:t xml:space="preserve"> </w:t>
      </w:r>
      <w:r>
        <w:rPr>
          <w:color w:val="231F20"/>
        </w:rPr>
        <w:t>both</w:t>
      </w:r>
      <w:r>
        <w:rPr>
          <w:color w:val="231F20"/>
          <w:spacing w:val="28"/>
        </w:rPr>
        <w:t xml:space="preserve"> </w:t>
      </w:r>
      <w:r>
        <w:rPr>
          <w:color w:val="231F20"/>
        </w:rPr>
        <w:t>genes,</w:t>
      </w:r>
      <w:r>
        <w:rPr>
          <w:color w:val="231F20"/>
          <w:spacing w:val="28"/>
        </w:rPr>
        <w:t xml:space="preserve"> </w:t>
      </w:r>
      <w:r>
        <w:rPr>
          <w:color w:val="231F20"/>
        </w:rPr>
        <w:t>CpG</w:t>
      </w:r>
      <w:r>
        <w:rPr>
          <w:color w:val="231F20"/>
          <w:spacing w:val="28"/>
        </w:rPr>
        <w:t xml:space="preserve"> </w:t>
      </w:r>
      <w:r>
        <w:rPr>
          <w:color w:val="231F20"/>
        </w:rPr>
        <w:t>island</w:t>
      </w:r>
      <w:r>
        <w:rPr>
          <w:color w:val="231F20"/>
          <w:spacing w:val="28"/>
        </w:rPr>
        <w:t xml:space="preserve"> </w:t>
      </w:r>
      <w:r>
        <w:rPr>
          <w:color w:val="231F20"/>
          <w:spacing w:val="-2"/>
        </w:rPr>
        <w:t>hypermethylation</w:t>
      </w:r>
    </w:p>
    <w:p w14:paraId="7546524A" w14:textId="77777777" w:rsidR="00B322A0" w:rsidRDefault="00B322A0">
      <w:pPr>
        <w:spacing w:line="264" w:lineRule="auto"/>
        <w:jc w:val="both"/>
        <w:sectPr w:rsidR="00B322A0" w:rsidSect="00BA4BCE">
          <w:type w:val="continuous"/>
          <w:pgSz w:w="11700" w:h="15660"/>
          <w:pgMar w:top="420" w:right="560" w:bottom="920" w:left="600" w:header="428" w:footer="719" w:gutter="0"/>
          <w:cols w:num="2" w:space="720" w:equalWidth="0">
            <w:col w:w="5185" w:space="95"/>
            <w:col w:w="5260"/>
          </w:cols>
        </w:sectPr>
      </w:pPr>
    </w:p>
    <w:p w14:paraId="25CFE3EF" w14:textId="77777777" w:rsidR="00B322A0" w:rsidRDefault="00000000">
      <w:pPr>
        <w:pStyle w:val="Textoindependiente"/>
        <w:spacing w:before="157"/>
        <w:ind w:left="0"/>
        <w:rPr>
          <w:sz w:val="14"/>
        </w:rPr>
      </w:pPr>
      <w:r>
        <w:rPr>
          <w:noProof/>
        </w:rPr>
        <mc:AlternateContent>
          <mc:Choice Requires="wps">
            <w:drawing>
              <wp:anchor distT="0" distB="0" distL="0" distR="0" simplePos="0" relativeHeight="15730688" behindDoc="0" locked="0" layoutInCell="1" allowOverlap="1" wp14:anchorId="4E661220" wp14:editId="3CD24066">
                <wp:simplePos x="0" y="0"/>
                <wp:positionH relativeFrom="page">
                  <wp:posOffset>7108425</wp:posOffset>
                </wp:positionH>
                <wp:positionV relativeFrom="page">
                  <wp:posOffset>1928114</wp:posOffset>
                </wp:positionV>
                <wp:extent cx="111125" cy="619950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6016E553"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18">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4E661220" id="Textbox 9" o:spid="_x0000_s1028" type="#_x0000_t202" style="position:absolute;margin-left:559.7pt;margin-top:151.8pt;width:8.75pt;height:488.15pt;z-index:15730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" filled="f" stroked="f">
                <v:textbox style="layout-flow:vertical" inset="0,0,0,0">
                  <w:txbxContent>
                    <w:p w14:paraId="6016E553"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19">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p>
    <w:p w14:paraId="336815D3" w14:textId="77777777" w:rsidR="00B322A0" w:rsidRDefault="00000000">
      <w:pPr>
        <w:spacing w:after="53"/>
        <w:ind w:right="11"/>
        <w:jc w:val="center"/>
        <w:rPr>
          <w:i/>
          <w:sz w:val="14"/>
        </w:rPr>
      </w:pPr>
      <w:r>
        <w:rPr>
          <w:color w:val="231F20"/>
          <w:sz w:val="14"/>
        </w:rPr>
        <w:t>Table</w:t>
      </w:r>
      <w:r>
        <w:rPr>
          <w:color w:val="231F20"/>
          <w:spacing w:val="11"/>
          <w:sz w:val="14"/>
        </w:rPr>
        <w:t xml:space="preserve"> </w:t>
      </w:r>
      <w:r>
        <w:rPr>
          <w:color w:val="231F20"/>
          <w:sz w:val="14"/>
        </w:rPr>
        <w:t>1</w:t>
      </w:r>
      <w:r>
        <w:rPr>
          <w:color w:val="231F20"/>
          <w:spacing w:val="35"/>
          <w:sz w:val="14"/>
        </w:rPr>
        <w:t xml:space="preserve">  </w:t>
      </w:r>
      <w:r>
        <w:rPr>
          <w:i/>
          <w:color w:val="231F20"/>
          <w:sz w:val="14"/>
        </w:rPr>
        <w:t>CpG</w:t>
      </w:r>
      <w:r>
        <w:rPr>
          <w:i/>
          <w:color w:val="231F20"/>
          <w:spacing w:val="11"/>
          <w:sz w:val="14"/>
        </w:rPr>
        <w:t xml:space="preserve"> </w:t>
      </w:r>
      <w:r>
        <w:rPr>
          <w:i/>
          <w:color w:val="231F20"/>
          <w:sz w:val="14"/>
        </w:rPr>
        <w:t>island</w:t>
      </w:r>
      <w:r>
        <w:rPr>
          <w:i/>
          <w:color w:val="231F20"/>
          <w:spacing w:val="11"/>
          <w:sz w:val="14"/>
        </w:rPr>
        <w:t xml:space="preserve"> </w:t>
      </w:r>
      <w:r>
        <w:rPr>
          <w:i/>
          <w:color w:val="231F20"/>
          <w:sz w:val="14"/>
        </w:rPr>
        <w:t>methylation</w:t>
      </w:r>
      <w:r>
        <w:rPr>
          <w:i/>
          <w:color w:val="231F20"/>
          <w:spacing w:val="11"/>
          <w:sz w:val="14"/>
        </w:rPr>
        <w:t xml:space="preserve"> </w:t>
      </w:r>
      <w:r>
        <w:rPr>
          <w:i/>
          <w:color w:val="231F20"/>
          <w:sz w:val="14"/>
        </w:rPr>
        <w:t>status</w:t>
      </w:r>
      <w:r>
        <w:rPr>
          <w:i/>
          <w:color w:val="231F20"/>
          <w:spacing w:val="11"/>
          <w:sz w:val="14"/>
        </w:rPr>
        <w:t xml:space="preserve"> </w:t>
      </w:r>
      <w:r>
        <w:rPr>
          <w:i/>
          <w:color w:val="231F20"/>
          <w:sz w:val="14"/>
        </w:rPr>
        <w:t>of</w:t>
      </w:r>
      <w:r>
        <w:rPr>
          <w:i/>
          <w:color w:val="231F20"/>
          <w:spacing w:val="11"/>
          <w:sz w:val="14"/>
        </w:rPr>
        <w:t xml:space="preserve"> </w:t>
      </w:r>
      <w:r>
        <w:rPr>
          <w:i/>
          <w:color w:val="231F20"/>
          <w:sz w:val="14"/>
        </w:rPr>
        <w:t>candidate</w:t>
      </w:r>
      <w:r>
        <w:rPr>
          <w:i/>
          <w:color w:val="231F20"/>
          <w:spacing w:val="11"/>
          <w:sz w:val="14"/>
        </w:rPr>
        <w:t xml:space="preserve"> </w:t>
      </w:r>
      <w:r>
        <w:rPr>
          <w:i/>
          <w:color w:val="231F20"/>
          <w:sz w:val="14"/>
        </w:rPr>
        <w:t>genes</w:t>
      </w:r>
      <w:r>
        <w:rPr>
          <w:i/>
          <w:color w:val="231F20"/>
          <w:spacing w:val="11"/>
          <w:sz w:val="14"/>
        </w:rPr>
        <w:t xml:space="preserve"> </w:t>
      </w:r>
      <w:r>
        <w:rPr>
          <w:i/>
          <w:color w:val="231F20"/>
          <w:sz w:val="14"/>
        </w:rPr>
        <w:t>in</w:t>
      </w:r>
      <w:r>
        <w:rPr>
          <w:i/>
          <w:color w:val="231F20"/>
          <w:spacing w:val="11"/>
          <w:sz w:val="14"/>
        </w:rPr>
        <w:t xml:space="preserve"> </w:t>
      </w:r>
      <w:r>
        <w:rPr>
          <w:i/>
          <w:color w:val="231F20"/>
          <w:sz w:val="14"/>
        </w:rPr>
        <w:t>cancer</w:t>
      </w:r>
      <w:r>
        <w:rPr>
          <w:i/>
          <w:color w:val="231F20"/>
          <w:spacing w:val="11"/>
          <w:sz w:val="14"/>
        </w:rPr>
        <w:t xml:space="preserve"> </w:t>
      </w:r>
      <w:r>
        <w:rPr>
          <w:i/>
          <w:color w:val="231F20"/>
          <w:sz w:val="14"/>
        </w:rPr>
        <w:t>cell</w:t>
      </w:r>
      <w:r>
        <w:rPr>
          <w:i/>
          <w:color w:val="231F20"/>
          <w:spacing w:val="11"/>
          <w:sz w:val="14"/>
        </w:rPr>
        <w:t xml:space="preserve"> </w:t>
      </w:r>
      <w:r>
        <w:rPr>
          <w:i/>
          <w:color w:val="231F20"/>
          <w:sz w:val="14"/>
        </w:rPr>
        <w:t>lines</w:t>
      </w:r>
      <w:r>
        <w:rPr>
          <w:i/>
          <w:color w:val="231F20"/>
          <w:spacing w:val="11"/>
          <w:sz w:val="14"/>
        </w:rPr>
        <w:t xml:space="preserve"> </w:t>
      </w:r>
      <w:r>
        <w:rPr>
          <w:i/>
          <w:color w:val="231F20"/>
          <w:sz w:val="14"/>
        </w:rPr>
        <w:t>from</w:t>
      </w:r>
      <w:r>
        <w:rPr>
          <w:i/>
          <w:color w:val="231F20"/>
          <w:spacing w:val="11"/>
          <w:sz w:val="14"/>
        </w:rPr>
        <w:t xml:space="preserve"> </w:t>
      </w:r>
      <w:r>
        <w:rPr>
          <w:i/>
          <w:color w:val="231F20"/>
          <w:sz w:val="14"/>
        </w:rPr>
        <w:t>the</w:t>
      </w:r>
      <w:r>
        <w:rPr>
          <w:i/>
          <w:color w:val="231F20"/>
          <w:spacing w:val="11"/>
          <w:sz w:val="14"/>
        </w:rPr>
        <w:t xml:space="preserve"> </w:t>
      </w:r>
      <w:r>
        <w:rPr>
          <w:i/>
          <w:color w:val="231F20"/>
          <w:sz w:val="14"/>
        </w:rPr>
        <w:t>mouse</w:t>
      </w:r>
      <w:r>
        <w:rPr>
          <w:i/>
          <w:color w:val="231F20"/>
          <w:spacing w:val="11"/>
          <w:sz w:val="14"/>
        </w:rPr>
        <w:t xml:space="preserve"> </w:t>
      </w:r>
      <w:r>
        <w:rPr>
          <w:i/>
          <w:color w:val="231F20"/>
          <w:sz w:val="14"/>
        </w:rPr>
        <w:t>skin</w:t>
      </w:r>
      <w:r>
        <w:rPr>
          <w:i/>
          <w:color w:val="231F20"/>
          <w:spacing w:val="11"/>
          <w:sz w:val="14"/>
        </w:rPr>
        <w:t xml:space="preserve"> </w:t>
      </w:r>
      <w:r>
        <w:rPr>
          <w:i/>
          <w:color w:val="231F20"/>
          <w:sz w:val="14"/>
        </w:rPr>
        <w:t>tumor</w:t>
      </w:r>
      <w:r>
        <w:rPr>
          <w:i/>
          <w:color w:val="231F20"/>
          <w:spacing w:val="11"/>
          <w:sz w:val="14"/>
        </w:rPr>
        <w:t xml:space="preserve"> </w:t>
      </w:r>
      <w:r>
        <w:rPr>
          <w:i/>
          <w:color w:val="231F20"/>
          <w:sz w:val="14"/>
        </w:rPr>
        <w:t>progression</w:t>
      </w:r>
      <w:r>
        <w:rPr>
          <w:i/>
          <w:color w:val="231F20"/>
          <w:spacing w:val="11"/>
          <w:sz w:val="14"/>
        </w:rPr>
        <w:t xml:space="preserve"> </w:t>
      </w:r>
      <w:r>
        <w:rPr>
          <w:i/>
          <w:color w:val="231F20"/>
          <w:spacing w:val="-2"/>
          <w:sz w:val="14"/>
        </w:rPr>
        <w:t>model</w:t>
      </w:r>
    </w:p>
    <w:tbl>
      <w:tblPr>
        <w:tblStyle w:val="TableNormal"/>
        <w:tblW w:w="0" w:type="auto"/>
        <w:tblInd w:w="110" w:type="dxa"/>
        <w:tblLayout w:type="fixed"/>
        <w:tblLook w:val="01E0" w:firstRow="1" w:lastRow="1" w:firstColumn="1" w:lastColumn="1" w:noHBand="0" w:noVBand="0"/>
      </w:tblPr>
      <w:tblGrid>
        <w:gridCol w:w="1077"/>
        <w:gridCol w:w="636"/>
        <w:gridCol w:w="942"/>
        <w:gridCol w:w="623"/>
        <w:gridCol w:w="895"/>
        <w:gridCol w:w="731"/>
        <w:gridCol w:w="964"/>
        <w:gridCol w:w="1050"/>
        <w:gridCol w:w="1058"/>
        <w:gridCol w:w="840"/>
        <w:gridCol w:w="747"/>
        <w:gridCol w:w="747"/>
      </w:tblGrid>
      <w:tr w:rsidR="00B322A0" w14:paraId="21DBD23B" w14:textId="77777777">
        <w:trPr>
          <w:trHeight w:val="243"/>
        </w:trPr>
        <w:tc>
          <w:tcPr>
            <w:tcW w:w="1077" w:type="dxa"/>
            <w:tcBorders>
              <w:top w:val="single" w:sz="4" w:space="0" w:color="231F20"/>
              <w:bottom w:val="single" w:sz="4" w:space="0" w:color="231F20"/>
            </w:tcBorders>
          </w:tcPr>
          <w:p w14:paraId="3B1A1CDD" w14:textId="77777777" w:rsidR="00B322A0" w:rsidRDefault="00B322A0">
            <w:pPr>
              <w:pStyle w:val="TableParagraph"/>
              <w:spacing w:line="240" w:lineRule="auto"/>
              <w:ind w:left="0"/>
              <w:jc w:val="left"/>
              <w:rPr>
                <w:sz w:val="16"/>
              </w:rPr>
            </w:pPr>
          </w:p>
        </w:tc>
        <w:tc>
          <w:tcPr>
            <w:tcW w:w="636" w:type="dxa"/>
            <w:tcBorders>
              <w:top w:val="single" w:sz="4" w:space="0" w:color="231F20"/>
              <w:bottom w:val="single" w:sz="4" w:space="0" w:color="231F20"/>
            </w:tcBorders>
          </w:tcPr>
          <w:p w14:paraId="73D2229F" w14:textId="77777777" w:rsidR="00B322A0" w:rsidRDefault="00000000">
            <w:pPr>
              <w:pStyle w:val="TableParagraph"/>
              <w:spacing w:before="47" w:line="240" w:lineRule="auto"/>
              <w:ind w:left="5"/>
              <w:rPr>
                <w:sz w:val="14"/>
              </w:rPr>
            </w:pPr>
            <w:r>
              <w:rPr>
                <w:color w:val="231F20"/>
                <w:spacing w:val="-5"/>
                <w:sz w:val="14"/>
              </w:rPr>
              <w:t>NS</w:t>
            </w:r>
          </w:p>
        </w:tc>
        <w:tc>
          <w:tcPr>
            <w:tcW w:w="942" w:type="dxa"/>
            <w:tcBorders>
              <w:top w:val="single" w:sz="4" w:space="0" w:color="231F20"/>
              <w:bottom w:val="single" w:sz="4" w:space="0" w:color="231F20"/>
            </w:tcBorders>
          </w:tcPr>
          <w:p w14:paraId="5F8733E2" w14:textId="77777777" w:rsidR="00B322A0" w:rsidRDefault="00000000">
            <w:pPr>
              <w:pStyle w:val="TableParagraph"/>
              <w:spacing w:before="47" w:line="240" w:lineRule="auto"/>
              <w:ind w:right="20"/>
              <w:rPr>
                <w:sz w:val="14"/>
              </w:rPr>
            </w:pPr>
            <w:r>
              <w:rPr>
                <w:color w:val="231F20"/>
                <w:spacing w:val="-2"/>
                <w:sz w:val="14"/>
              </w:rPr>
              <w:t>MCA3D</w:t>
            </w:r>
          </w:p>
        </w:tc>
        <w:tc>
          <w:tcPr>
            <w:tcW w:w="623" w:type="dxa"/>
            <w:tcBorders>
              <w:top w:val="single" w:sz="4" w:space="0" w:color="231F20"/>
              <w:bottom w:val="single" w:sz="4" w:space="0" w:color="231F20"/>
            </w:tcBorders>
          </w:tcPr>
          <w:p w14:paraId="60DE4455" w14:textId="77777777" w:rsidR="00B322A0" w:rsidRDefault="00000000">
            <w:pPr>
              <w:pStyle w:val="TableParagraph"/>
              <w:spacing w:before="47" w:line="240" w:lineRule="auto"/>
              <w:ind w:left="20" w:right="19"/>
              <w:rPr>
                <w:sz w:val="14"/>
              </w:rPr>
            </w:pPr>
            <w:r>
              <w:rPr>
                <w:color w:val="231F20"/>
                <w:spacing w:val="-5"/>
                <w:sz w:val="14"/>
              </w:rPr>
              <w:t>PB</w:t>
            </w:r>
          </w:p>
        </w:tc>
        <w:tc>
          <w:tcPr>
            <w:tcW w:w="895" w:type="dxa"/>
            <w:tcBorders>
              <w:top w:val="single" w:sz="4" w:space="0" w:color="231F20"/>
              <w:bottom w:val="single" w:sz="4" w:space="0" w:color="231F20"/>
            </w:tcBorders>
          </w:tcPr>
          <w:p w14:paraId="49F06BE9" w14:textId="77777777" w:rsidR="00B322A0" w:rsidRDefault="00000000">
            <w:pPr>
              <w:pStyle w:val="TableParagraph"/>
              <w:spacing w:before="47" w:line="240" w:lineRule="auto"/>
              <w:ind w:right="18"/>
              <w:rPr>
                <w:sz w:val="14"/>
              </w:rPr>
            </w:pPr>
            <w:r>
              <w:rPr>
                <w:color w:val="231F20"/>
                <w:spacing w:val="-2"/>
                <w:sz w:val="14"/>
              </w:rPr>
              <w:t>MSCP6</w:t>
            </w:r>
          </w:p>
        </w:tc>
        <w:tc>
          <w:tcPr>
            <w:tcW w:w="731" w:type="dxa"/>
            <w:tcBorders>
              <w:top w:val="single" w:sz="4" w:space="0" w:color="231F20"/>
              <w:bottom w:val="single" w:sz="4" w:space="0" w:color="231F20"/>
            </w:tcBorders>
          </w:tcPr>
          <w:p w14:paraId="2768AD3A" w14:textId="77777777" w:rsidR="00B322A0" w:rsidRDefault="00000000">
            <w:pPr>
              <w:pStyle w:val="TableParagraph"/>
              <w:spacing w:before="47" w:line="240" w:lineRule="auto"/>
              <w:ind w:right="16"/>
              <w:rPr>
                <w:sz w:val="14"/>
              </w:rPr>
            </w:pPr>
            <w:r>
              <w:rPr>
                <w:color w:val="231F20"/>
                <w:spacing w:val="-5"/>
                <w:sz w:val="14"/>
              </w:rPr>
              <w:t>PDV</w:t>
            </w:r>
          </w:p>
        </w:tc>
        <w:tc>
          <w:tcPr>
            <w:tcW w:w="964" w:type="dxa"/>
            <w:tcBorders>
              <w:top w:val="single" w:sz="4" w:space="0" w:color="231F20"/>
              <w:bottom w:val="single" w:sz="4" w:space="0" w:color="231F20"/>
            </w:tcBorders>
          </w:tcPr>
          <w:p w14:paraId="75CA4CE7" w14:textId="77777777" w:rsidR="00B322A0" w:rsidRDefault="00000000">
            <w:pPr>
              <w:pStyle w:val="TableParagraph"/>
              <w:spacing w:before="47" w:line="240" w:lineRule="auto"/>
              <w:ind w:right="13"/>
              <w:rPr>
                <w:sz w:val="14"/>
              </w:rPr>
            </w:pPr>
            <w:r>
              <w:rPr>
                <w:color w:val="231F20"/>
                <w:spacing w:val="-2"/>
                <w:sz w:val="14"/>
              </w:rPr>
              <w:t>PAM212</w:t>
            </w:r>
          </w:p>
        </w:tc>
        <w:tc>
          <w:tcPr>
            <w:tcW w:w="1050" w:type="dxa"/>
            <w:tcBorders>
              <w:top w:val="single" w:sz="4" w:space="0" w:color="231F20"/>
              <w:bottom w:val="single" w:sz="4" w:space="0" w:color="231F20"/>
            </w:tcBorders>
          </w:tcPr>
          <w:p w14:paraId="6CF53B04" w14:textId="77777777" w:rsidR="00B322A0" w:rsidRDefault="00000000">
            <w:pPr>
              <w:pStyle w:val="TableParagraph"/>
              <w:spacing w:before="47" w:line="240" w:lineRule="auto"/>
              <w:ind w:right="10"/>
              <w:rPr>
                <w:sz w:val="14"/>
              </w:rPr>
            </w:pPr>
            <w:r>
              <w:rPr>
                <w:color w:val="231F20"/>
                <w:spacing w:val="-2"/>
                <w:sz w:val="14"/>
              </w:rPr>
              <w:t>MSCB119</w:t>
            </w:r>
          </w:p>
        </w:tc>
        <w:tc>
          <w:tcPr>
            <w:tcW w:w="1058" w:type="dxa"/>
            <w:tcBorders>
              <w:top w:val="single" w:sz="4" w:space="0" w:color="231F20"/>
              <w:bottom w:val="single" w:sz="4" w:space="0" w:color="231F20"/>
            </w:tcBorders>
          </w:tcPr>
          <w:p w14:paraId="16E60776" w14:textId="77777777" w:rsidR="00B322A0" w:rsidRDefault="00000000">
            <w:pPr>
              <w:pStyle w:val="TableParagraph"/>
              <w:spacing w:before="47" w:line="240" w:lineRule="auto"/>
              <w:ind w:right="8"/>
              <w:rPr>
                <w:sz w:val="14"/>
              </w:rPr>
            </w:pPr>
            <w:r>
              <w:rPr>
                <w:color w:val="231F20"/>
                <w:spacing w:val="-2"/>
                <w:sz w:val="14"/>
              </w:rPr>
              <w:t>MSC11A5</w:t>
            </w:r>
          </w:p>
        </w:tc>
        <w:tc>
          <w:tcPr>
            <w:tcW w:w="840" w:type="dxa"/>
            <w:tcBorders>
              <w:top w:val="single" w:sz="4" w:space="0" w:color="231F20"/>
              <w:bottom w:val="single" w:sz="4" w:space="0" w:color="231F20"/>
            </w:tcBorders>
          </w:tcPr>
          <w:p w14:paraId="11B8E8DA" w14:textId="77777777" w:rsidR="00B322A0" w:rsidRDefault="00000000">
            <w:pPr>
              <w:pStyle w:val="TableParagraph"/>
              <w:spacing w:before="47" w:line="240" w:lineRule="auto"/>
              <w:ind w:left="20" w:right="5"/>
              <w:rPr>
                <w:sz w:val="14"/>
              </w:rPr>
            </w:pPr>
            <w:r>
              <w:rPr>
                <w:color w:val="231F20"/>
                <w:spacing w:val="-2"/>
                <w:sz w:val="14"/>
              </w:rPr>
              <w:t>HaCa4</w:t>
            </w:r>
          </w:p>
        </w:tc>
        <w:tc>
          <w:tcPr>
            <w:tcW w:w="747" w:type="dxa"/>
            <w:tcBorders>
              <w:top w:val="single" w:sz="4" w:space="0" w:color="231F20"/>
              <w:bottom w:val="single" w:sz="4" w:space="0" w:color="231F20"/>
            </w:tcBorders>
          </w:tcPr>
          <w:p w14:paraId="7DC9A266" w14:textId="77777777" w:rsidR="00B322A0" w:rsidRDefault="00000000">
            <w:pPr>
              <w:pStyle w:val="TableParagraph"/>
              <w:spacing w:before="47" w:line="240" w:lineRule="auto"/>
              <w:ind w:right="4"/>
              <w:rPr>
                <w:sz w:val="14"/>
              </w:rPr>
            </w:pPr>
            <w:r>
              <w:rPr>
                <w:color w:val="231F20"/>
                <w:spacing w:val="-4"/>
                <w:sz w:val="14"/>
              </w:rPr>
              <w:t>CarB</w:t>
            </w:r>
          </w:p>
        </w:tc>
        <w:tc>
          <w:tcPr>
            <w:tcW w:w="747" w:type="dxa"/>
            <w:tcBorders>
              <w:top w:val="single" w:sz="4" w:space="0" w:color="231F20"/>
              <w:bottom w:val="single" w:sz="4" w:space="0" w:color="231F20"/>
            </w:tcBorders>
          </w:tcPr>
          <w:p w14:paraId="3B680D87" w14:textId="77777777" w:rsidR="00B322A0" w:rsidRDefault="00000000">
            <w:pPr>
              <w:pStyle w:val="TableParagraph"/>
              <w:spacing w:before="47" w:line="240" w:lineRule="auto"/>
              <w:ind w:left="23" w:right="4"/>
              <w:rPr>
                <w:sz w:val="14"/>
              </w:rPr>
            </w:pPr>
            <w:r>
              <w:rPr>
                <w:color w:val="231F20"/>
                <w:spacing w:val="-4"/>
                <w:sz w:val="14"/>
              </w:rPr>
              <w:t>CarC</w:t>
            </w:r>
          </w:p>
        </w:tc>
      </w:tr>
      <w:tr w:rsidR="00B322A0" w14:paraId="5E184732" w14:textId="77777777">
        <w:trPr>
          <w:trHeight w:val="197"/>
        </w:trPr>
        <w:tc>
          <w:tcPr>
            <w:tcW w:w="1077" w:type="dxa"/>
            <w:tcBorders>
              <w:top w:val="single" w:sz="4" w:space="0" w:color="231F20"/>
            </w:tcBorders>
          </w:tcPr>
          <w:p w14:paraId="091CE147" w14:textId="77777777" w:rsidR="00B322A0" w:rsidRDefault="00000000">
            <w:pPr>
              <w:pStyle w:val="TableParagraph"/>
              <w:spacing w:before="34" w:line="143" w:lineRule="exact"/>
              <w:ind w:left="216"/>
              <w:jc w:val="left"/>
              <w:rPr>
                <w:i/>
                <w:sz w:val="14"/>
              </w:rPr>
            </w:pPr>
            <w:r>
              <w:rPr>
                <w:i/>
                <w:color w:val="231F20"/>
                <w:spacing w:val="-2"/>
                <w:sz w:val="14"/>
              </w:rPr>
              <w:t>BRCA1</w:t>
            </w:r>
          </w:p>
        </w:tc>
        <w:tc>
          <w:tcPr>
            <w:tcW w:w="636" w:type="dxa"/>
            <w:tcBorders>
              <w:top w:val="single" w:sz="4" w:space="0" w:color="231F20"/>
            </w:tcBorders>
          </w:tcPr>
          <w:p w14:paraId="33FB0AFB" w14:textId="77777777" w:rsidR="00B322A0" w:rsidRDefault="00000000">
            <w:pPr>
              <w:pStyle w:val="TableParagraph"/>
              <w:spacing w:before="34" w:line="143" w:lineRule="exact"/>
              <w:ind w:left="5"/>
              <w:rPr>
                <w:sz w:val="14"/>
              </w:rPr>
            </w:pPr>
            <w:r>
              <w:rPr>
                <w:color w:val="231F20"/>
                <w:spacing w:val="-10"/>
                <w:sz w:val="14"/>
              </w:rPr>
              <w:t>U</w:t>
            </w:r>
          </w:p>
        </w:tc>
        <w:tc>
          <w:tcPr>
            <w:tcW w:w="942" w:type="dxa"/>
            <w:tcBorders>
              <w:top w:val="single" w:sz="4" w:space="0" w:color="231F20"/>
            </w:tcBorders>
          </w:tcPr>
          <w:p w14:paraId="40E0FCC6" w14:textId="77777777" w:rsidR="00B322A0" w:rsidRDefault="00000000">
            <w:pPr>
              <w:pStyle w:val="TableParagraph"/>
              <w:spacing w:before="34" w:line="143" w:lineRule="exact"/>
              <w:ind w:left="1" w:right="21"/>
              <w:rPr>
                <w:sz w:val="14"/>
              </w:rPr>
            </w:pPr>
            <w:r>
              <w:rPr>
                <w:color w:val="231F20"/>
                <w:spacing w:val="-10"/>
                <w:sz w:val="14"/>
              </w:rPr>
              <w:t>U</w:t>
            </w:r>
          </w:p>
        </w:tc>
        <w:tc>
          <w:tcPr>
            <w:tcW w:w="623" w:type="dxa"/>
            <w:tcBorders>
              <w:top w:val="single" w:sz="4" w:space="0" w:color="231F20"/>
            </w:tcBorders>
          </w:tcPr>
          <w:p w14:paraId="124E1D9C" w14:textId="77777777" w:rsidR="00B322A0" w:rsidRDefault="00000000">
            <w:pPr>
              <w:pStyle w:val="TableParagraph"/>
              <w:spacing w:before="34" w:line="143" w:lineRule="exact"/>
              <w:ind w:left="1" w:right="20"/>
              <w:rPr>
                <w:sz w:val="14"/>
              </w:rPr>
            </w:pPr>
            <w:r>
              <w:rPr>
                <w:color w:val="231F20"/>
                <w:spacing w:val="-10"/>
                <w:sz w:val="14"/>
              </w:rPr>
              <w:t>U</w:t>
            </w:r>
          </w:p>
        </w:tc>
        <w:tc>
          <w:tcPr>
            <w:tcW w:w="895" w:type="dxa"/>
            <w:tcBorders>
              <w:top w:val="single" w:sz="4" w:space="0" w:color="231F20"/>
            </w:tcBorders>
          </w:tcPr>
          <w:p w14:paraId="59D2AFCE" w14:textId="77777777" w:rsidR="00B322A0" w:rsidRDefault="00000000">
            <w:pPr>
              <w:pStyle w:val="TableParagraph"/>
              <w:spacing w:before="34" w:line="143" w:lineRule="exact"/>
              <w:ind w:left="3" w:right="21"/>
              <w:rPr>
                <w:sz w:val="14"/>
              </w:rPr>
            </w:pPr>
            <w:r>
              <w:rPr>
                <w:color w:val="231F20"/>
                <w:spacing w:val="-10"/>
                <w:sz w:val="14"/>
              </w:rPr>
              <w:t>U</w:t>
            </w:r>
          </w:p>
        </w:tc>
        <w:tc>
          <w:tcPr>
            <w:tcW w:w="731" w:type="dxa"/>
            <w:tcBorders>
              <w:top w:val="single" w:sz="4" w:space="0" w:color="231F20"/>
            </w:tcBorders>
          </w:tcPr>
          <w:p w14:paraId="02AF4C47" w14:textId="77777777" w:rsidR="00B322A0" w:rsidRDefault="00000000">
            <w:pPr>
              <w:pStyle w:val="TableParagraph"/>
              <w:spacing w:before="34" w:line="143" w:lineRule="exact"/>
              <w:ind w:left="5" w:right="21"/>
              <w:rPr>
                <w:sz w:val="14"/>
              </w:rPr>
            </w:pPr>
            <w:r>
              <w:rPr>
                <w:color w:val="231F20"/>
                <w:spacing w:val="-10"/>
                <w:sz w:val="14"/>
              </w:rPr>
              <w:t>U</w:t>
            </w:r>
          </w:p>
        </w:tc>
        <w:tc>
          <w:tcPr>
            <w:tcW w:w="964" w:type="dxa"/>
            <w:tcBorders>
              <w:top w:val="single" w:sz="4" w:space="0" w:color="231F20"/>
            </w:tcBorders>
          </w:tcPr>
          <w:p w14:paraId="1A0DFC7D" w14:textId="77777777" w:rsidR="00B322A0" w:rsidRDefault="00000000">
            <w:pPr>
              <w:pStyle w:val="TableParagraph"/>
              <w:spacing w:before="34" w:line="143" w:lineRule="exact"/>
              <w:ind w:left="8" w:right="21"/>
              <w:rPr>
                <w:sz w:val="14"/>
              </w:rPr>
            </w:pPr>
            <w:r>
              <w:rPr>
                <w:color w:val="231F20"/>
                <w:spacing w:val="-10"/>
                <w:sz w:val="14"/>
              </w:rPr>
              <w:t>U</w:t>
            </w:r>
          </w:p>
        </w:tc>
        <w:tc>
          <w:tcPr>
            <w:tcW w:w="1050" w:type="dxa"/>
            <w:tcBorders>
              <w:top w:val="single" w:sz="4" w:space="0" w:color="231F20"/>
            </w:tcBorders>
          </w:tcPr>
          <w:p w14:paraId="259BFFD6" w14:textId="77777777" w:rsidR="00B322A0" w:rsidRDefault="00000000">
            <w:pPr>
              <w:pStyle w:val="TableParagraph"/>
              <w:spacing w:before="34" w:line="143" w:lineRule="exact"/>
              <w:ind w:left="11" w:right="21"/>
              <w:rPr>
                <w:sz w:val="14"/>
              </w:rPr>
            </w:pPr>
            <w:r>
              <w:rPr>
                <w:color w:val="231F20"/>
                <w:spacing w:val="-10"/>
                <w:sz w:val="14"/>
              </w:rPr>
              <w:t>U</w:t>
            </w:r>
          </w:p>
        </w:tc>
        <w:tc>
          <w:tcPr>
            <w:tcW w:w="1058" w:type="dxa"/>
            <w:tcBorders>
              <w:top w:val="single" w:sz="4" w:space="0" w:color="231F20"/>
            </w:tcBorders>
          </w:tcPr>
          <w:p w14:paraId="6CB2769A" w14:textId="77777777" w:rsidR="00B322A0" w:rsidRDefault="00000000">
            <w:pPr>
              <w:pStyle w:val="TableParagraph"/>
              <w:spacing w:before="34" w:line="143" w:lineRule="exact"/>
              <w:ind w:left="13" w:right="21"/>
              <w:rPr>
                <w:sz w:val="14"/>
              </w:rPr>
            </w:pPr>
            <w:r>
              <w:rPr>
                <w:color w:val="231F20"/>
                <w:spacing w:val="-10"/>
                <w:sz w:val="14"/>
              </w:rPr>
              <w:t>U</w:t>
            </w:r>
          </w:p>
        </w:tc>
        <w:tc>
          <w:tcPr>
            <w:tcW w:w="840" w:type="dxa"/>
            <w:tcBorders>
              <w:top w:val="single" w:sz="4" w:space="0" w:color="231F20"/>
            </w:tcBorders>
          </w:tcPr>
          <w:p w14:paraId="157CE530" w14:textId="77777777" w:rsidR="00B322A0" w:rsidRDefault="00000000">
            <w:pPr>
              <w:pStyle w:val="TableParagraph"/>
              <w:spacing w:before="34" w:line="143" w:lineRule="exact"/>
              <w:ind w:left="15" w:right="20"/>
              <w:rPr>
                <w:sz w:val="14"/>
              </w:rPr>
            </w:pPr>
            <w:r>
              <w:rPr>
                <w:color w:val="231F20"/>
                <w:spacing w:val="-10"/>
                <w:sz w:val="14"/>
              </w:rPr>
              <w:t>U</w:t>
            </w:r>
          </w:p>
        </w:tc>
        <w:tc>
          <w:tcPr>
            <w:tcW w:w="747" w:type="dxa"/>
            <w:tcBorders>
              <w:top w:val="single" w:sz="4" w:space="0" w:color="231F20"/>
            </w:tcBorders>
          </w:tcPr>
          <w:p w14:paraId="737123FF" w14:textId="77777777" w:rsidR="00B322A0" w:rsidRDefault="00000000">
            <w:pPr>
              <w:pStyle w:val="TableParagraph"/>
              <w:spacing w:before="34" w:line="143" w:lineRule="exact"/>
              <w:ind w:left="19" w:right="23"/>
              <w:rPr>
                <w:sz w:val="14"/>
              </w:rPr>
            </w:pPr>
            <w:r>
              <w:rPr>
                <w:color w:val="231F20"/>
                <w:spacing w:val="-10"/>
                <w:sz w:val="14"/>
              </w:rPr>
              <w:t>U</w:t>
            </w:r>
          </w:p>
        </w:tc>
        <w:tc>
          <w:tcPr>
            <w:tcW w:w="747" w:type="dxa"/>
            <w:tcBorders>
              <w:top w:val="single" w:sz="4" w:space="0" w:color="231F20"/>
            </w:tcBorders>
          </w:tcPr>
          <w:p w14:paraId="567EEB5E" w14:textId="77777777" w:rsidR="00B322A0" w:rsidRDefault="00000000">
            <w:pPr>
              <w:pStyle w:val="TableParagraph"/>
              <w:spacing w:before="34" w:line="143" w:lineRule="exact"/>
              <w:ind w:left="19" w:right="21"/>
              <w:rPr>
                <w:sz w:val="14"/>
              </w:rPr>
            </w:pPr>
            <w:r>
              <w:rPr>
                <w:color w:val="231F20"/>
                <w:spacing w:val="-10"/>
                <w:sz w:val="14"/>
              </w:rPr>
              <w:t>U</w:t>
            </w:r>
          </w:p>
        </w:tc>
      </w:tr>
      <w:tr w:rsidR="00B322A0" w14:paraId="1DD18CDE" w14:textId="77777777">
        <w:trPr>
          <w:trHeight w:val="160"/>
        </w:trPr>
        <w:tc>
          <w:tcPr>
            <w:tcW w:w="1077" w:type="dxa"/>
          </w:tcPr>
          <w:p w14:paraId="64701F08" w14:textId="77777777" w:rsidR="00B322A0" w:rsidRDefault="00000000">
            <w:pPr>
              <w:pStyle w:val="TableParagraph"/>
              <w:ind w:left="216"/>
              <w:jc w:val="left"/>
              <w:rPr>
                <w:i/>
                <w:sz w:val="14"/>
              </w:rPr>
            </w:pPr>
            <w:r>
              <w:rPr>
                <w:i/>
                <w:color w:val="231F20"/>
                <w:spacing w:val="-4"/>
                <w:sz w:val="14"/>
              </w:rPr>
              <w:t>MLH1</w:t>
            </w:r>
          </w:p>
        </w:tc>
        <w:tc>
          <w:tcPr>
            <w:tcW w:w="636" w:type="dxa"/>
          </w:tcPr>
          <w:p w14:paraId="3C6355E4" w14:textId="77777777" w:rsidR="00B322A0" w:rsidRDefault="00000000">
            <w:pPr>
              <w:pStyle w:val="TableParagraph"/>
              <w:ind w:left="5"/>
              <w:rPr>
                <w:sz w:val="14"/>
              </w:rPr>
            </w:pPr>
            <w:r>
              <w:rPr>
                <w:color w:val="231F20"/>
                <w:spacing w:val="-10"/>
                <w:sz w:val="14"/>
              </w:rPr>
              <w:t>U</w:t>
            </w:r>
          </w:p>
        </w:tc>
        <w:tc>
          <w:tcPr>
            <w:tcW w:w="942" w:type="dxa"/>
          </w:tcPr>
          <w:p w14:paraId="49E2D974" w14:textId="77777777" w:rsidR="00B322A0" w:rsidRDefault="00000000">
            <w:pPr>
              <w:pStyle w:val="TableParagraph"/>
              <w:ind w:left="1" w:right="21"/>
              <w:rPr>
                <w:sz w:val="14"/>
              </w:rPr>
            </w:pPr>
            <w:r>
              <w:rPr>
                <w:color w:val="231F20"/>
                <w:spacing w:val="-10"/>
                <w:sz w:val="14"/>
              </w:rPr>
              <w:t>U</w:t>
            </w:r>
          </w:p>
        </w:tc>
        <w:tc>
          <w:tcPr>
            <w:tcW w:w="623" w:type="dxa"/>
          </w:tcPr>
          <w:p w14:paraId="1EBD17E0" w14:textId="77777777" w:rsidR="00B322A0" w:rsidRDefault="00000000">
            <w:pPr>
              <w:pStyle w:val="TableParagraph"/>
              <w:ind w:left="1" w:right="20"/>
              <w:rPr>
                <w:sz w:val="14"/>
              </w:rPr>
            </w:pPr>
            <w:r>
              <w:rPr>
                <w:color w:val="231F20"/>
                <w:spacing w:val="-10"/>
                <w:sz w:val="14"/>
              </w:rPr>
              <w:t>U</w:t>
            </w:r>
          </w:p>
        </w:tc>
        <w:tc>
          <w:tcPr>
            <w:tcW w:w="895" w:type="dxa"/>
          </w:tcPr>
          <w:p w14:paraId="5749B2F5" w14:textId="77777777" w:rsidR="00B322A0" w:rsidRDefault="00000000">
            <w:pPr>
              <w:pStyle w:val="TableParagraph"/>
              <w:ind w:left="3" w:right="21"/>
              <w:rPr>
                <w:sz w:val="14"/>
              </w:rPr>
            </w:pPr>
            <w:r>
              <w:rPr>
                <w:color w:val="231F20"/>
                <w:spacing w:val="-10"/>
                <w:sz w:val="14"/>
              </w:rPr>
              <w:t>U</w:t>
            </w:r>
          </w:p>
        </w:tc>
        <w:tc>
          <w:tcPr>
            <w:tcW w:w="731" w:type="dxa"/>
          </w:tcPr>
          <w:p w14:paraId="41633EE4" w14:textId="77777777" w:rsidR="00B322A0" w:rsidRDefault="00000000">
            <w:pPr>
              <w:pStyle w:val="TableParagraph"/>
              <w:ind w:left="5" w:right="21"/>
              <w:rPr>
                <w:sz w:val="14"/>
              </w:rPr>
            </w:pPr>
            <w:r>
              <w:rPr>
                <w:color w:val="231F20"/>
                <w:spacing w:val="-10"/>
                <w:sz w:val="14"/>
              </w:rPr>
              <w:t>U</w:t>
            </w:r>
          </w:p>
        </w:tc>
        <w:tc>
          <w:tcPr>
            <w:tcW w:w="964" w:type="dxa"/>
          </w:tcPr>
          <w:p w14:paraId="17707B29" w14:textId="77777777" w:rsidR="00B322A0" w:rsidRDefault="00000000">
            <w:pPr>
              <w:pStyle w:val="TableParagraph"/>
              <w:ind w:left="8" w:right="21"/>
              <w:rPr>
                <w:sz w:val="14"/>
              </w:rPr>
            </w:pPr>
            <w:r>
              <w:rPr>
                <w:color w:val="231F20"/>
                <w:spacing w:val="-10"/>
                <w:sz w:val="14"/>
              </w:rPr>
              <w:t>U</w:t>
            </w:r>
          </w:p>
        </w:tc>
        <w:tc>
          <w:tcPr>
            <w:tcW w:w="1050" w:type="dxa"/>
          </w:tcPr>
          <w:p w14:paraId="51318E90" w14:textId="77777777" w:rsidR="00B322A0" w:rsidRDefault="00000000">
            <w:pPr>
              <w:pStyle w:val="TableParagraph"/>
              <w:ind w:left="11" w:right="21"/>
              <w:rPr>
                <w:sz w:val="14"/>
              </w:rPr>
            </w:pPr>
            <w:r>
              <w:rPr>
                <w:color w:val="231F20"/>
                <w:spacing w:val="-10"/>
                <w:sz w:val="14"/>
              </w:rPr>
              <w:t>U</w:t>
            </w:r>
          </w:p>
        </w:tc>
        <w:tc>
          <w:tcPr>
            <w:tcW w:w="1058" w:type="dxa"/>
          </w:tcPr>
          <w:p w14:paraId="75370CC4" w14:textId="77777777" w:rsidR="00B322A0" w:rsidRDefault="00000000">
            <w:pPr>
              <w:pStyle w:val="TableParagraph"/>
              <w:ind w:left="13" w:right="21"/>
              <w:rPr>
                <w:sz w:val="14"/>
              </w:rPr>
            </w:pPr>
            <w:r>
              <w:rPr>
                <w:color w:val="231F20"/>
                <w:spacing w:val="-10"/>
                <w:sz w:val="14"/>
              </w:rPr>
              <w:t>U</w:t>
            </w:r>
          </w:p>
        </w:tc>
        <w:tc>
          <w:tcPr>
            <w:tcW w:w="840" w:type="dxa"/>
          </w:tcPr>
          <w:p w14:paraId="5BF1AEF7" w14:textId="77777777" w:rsidR="00B322A0" w:rsidRDefault="00000000">
            <w:pPr>
              <w:pStyle w:val="TableParagraph"/>
              <w:ind w:left="15" w:right="20"/>
              <w:rPr>
                <w:sz w:val="14"/>
              </w:rPr>
            </w:pPr>
            <w:r>
              <w:rPr>
                <w:color w:val="231F20"/>
                <w:spacing w:val="-10"/>
                <w:sz w:val="14"/>
              </w:rPr>
              <w:t>U</w:t>
            </w:r>
          </w:p>
        </w:tc>
        <w:tc>
          <w:tcPr>
            <w:tcW w:w="747" w:type="dxa"/>
          </w:tcPr>
          <w:p w14:paraId="61D22BFF" w14:textId="77777777" w:rsidR="00B322A0" w:rsidRDefault="00000000">
            <w:pPr>
              <w:pStyle w:val="TableParagraph"/>
              <w:ind w:left="19" w:right="23"/>
              <w:rPr>
                <w:sz w:val="14"/>
              </w:rPr>
            </w:pPr>
            <w:r>
              <w:rPr>
                <w:color w:val="231F20"/>
                <w:spacing w:val="-10"/>
                <w:sz w:val="14"/>
              </w:rPr>
              <w:t>U</w:t>
            </w:r>
          </w:p>
        </w:tc>
        <w:tc>
          <w:tcPr>
            <w:tcW w:w="747" w:type="dxa"/>
          </w:tcPr>
          <w:p w14:paraId="56EEAF8D" w14:textId="77777777" w:rsidR="00B322A0" w:rsidRDefault="00000000">
            <w:pPr>
              <w:pStyle w:val="TableParagraph"/>
              <w:ind w:left="19" w:right="21"/>
              <w:rPr>
                <w:sz w:val="14"/>
              </w:rPr>
            </w:pPr>
            <w:r>
              <w:rPr>
                <w:color w:val="231F20"/>
                <w:spacing w:val="-10"/>
                <w:sz w:val="14"/>
              </w:rPr>
              <w:t>U</w:t>
            </w:r>
          </w:p>
        </w:tc>
      </w:tr>
      <w:tr w:rsidR="00B322A0" w14:paraId="3E77E8AB" w14:textId="77777777">
        <w:trPr>
          <w:trHeight w:val="160"/>
        </w:trPr>
        <w:tc>
          <w:tcPr>
            <w:tcW w:w="1077" w:type="dxa"/>
          </w:tcPr>
          <w:p w14:paraId="0B15CF8F" w14:textId="77777777" w:rsidR="00B322A0" w:rsidRDefault="00000000">
            <w:pPr>
              <w:pStyle w:val="TableParagraph"/>
              <w:ind w:left="216"/>
              <w:jc w:val="left"/>
              <w:rPr>
                <w:i/>
                <w:sz w:val="14"/>
              </w:rPr>
            </w:pPr>
            <w:r>
              <w:rPr>
                <w:i/>
                <w:color w:val="231F20"/>
                <w:spacing w:val="-4"/>
                <w:sz w:val="14"/>
              </w:rPr>
              <w:t>MGMT</w:t>
            </w:r>
          </w:p>
        </w:tc>
        <w:tc>
          <w:tcPr>
            <w:tcW w:w="636" w:type="dxa"/>
          </w:tcPr>
          <w:p w14:paraId="5EC8492F" w14:textId="77777777" w:rsidR="00B322A0" w:rsidRDefault="00000000">
            <w:pPr>
              <w:pStyle w:val="TableParagraph"/>
              <w:ind w:left="5"/>
              <w:rPr>
                <w:sz w:val="14"/>
              </w:rPr>
            </w:pPr>
            <w:r>
              <w:rPr>
                <w:color w:val="231F20"/>
                <w:spacing w:val="-10"/>
                <w:sz w:val="14"/>
              </w:rPr>
              <w:t>U</w:t>
            </w:r>
          </w:p>
        </w:tc>
        <w:tc>
          <w:tcPr>
            <w:tcW w:w="942" w:type="dxa"/>
          </w:tcPr>
          <w:p w14:paraId="44AC7EAB" w14:textId="77777777" w:rsidR="00B322A0" w:rsidRDefault="00000000">
            <w:pPr>
              <w:pStyle w:val="TableParagraph"/>
              <w:ind w:right="20"/>
              <w:rPr>
                <w:sz w:val="14"/>
              </w:rPr>
            </w:pPr>
            <w:r>
              <w:rPr>
                <w:color w:val="231F20"/>
                <w:spacing w:val="-10"/>
                <w:sz w:val="14"/>
              </w:rPr>
              <w:t>M</w:t>
            </w:r>
          </w:p>
        </w:tc>
        <w:tc>
          <w:tcPr>
            <w:tcW w:w="623" w:type="dxa"/>
          </w:tcPr>
          <w:p w14:paraId="288443DC" w14:textId="77777777" w:rsidR="00B322A0" w:rsidRDefault="00000000">
            <w:pPr>
              <w:pStyle w:val="TableParagraph"/>
              <w:ind w:left="20" w:right="19"/>
              <w:rPr>
                <w:sz w:val="14"/>
              </w:rPr>
            </w:pPr>
            <w:r>
              <w:rPr>
                <w:color w:val="231F20"/>
                <w:spacing w:val="-10"/>
                <w:sz w:val="14"/>
              </w:rPr>
              <w:t>M</w:t>
            </w:r>
          </w:p>
        </w:tc>
        <w:tc>
          <w:tcPr>
            <w:tcW w:w="895" w:type="dxa"/>
          </w:tcPr>
          <w:p w14:paraId="752C0B50" w14:textId="77777777" w:rsidR="00B322A0" w:rsidRDefault="00000000">
            <w:pPr>
              <w:pStyle w:val="TableParagraph"/>
              <w:ind w:right="18"/>
              <w:rPr>
                <w:sz w:val="14"/>
              </w:rPr>
            </w:pPr>
            <w:r>
              <w:rPr>
                <w:color w:val="231F20"/>
                <w:spacing w:val="-10"/>
                <w:sz w:val="14"/>
              </w:rPr>
              <w:t>M</w:t>
            </w:r>
          </w:p>
        </w:tc>
        <w:tc>
          <w:tcPr>
            <w:tcW w:w="731" w:type="dxa"/>
          </w:tcPr>
          <w:p w14:paraId="35BAE556" w14:textId="77777777" w:rsidR="00B322A0" w:rsidRDefault="00000000">
            <w:pPr>
              <w:pStyle w:val="TableParagraph"/>
              <w:ind w:right="16"/>
              <w:rPr>
                <w:sz w:val="14"/>
              </w:rPr>
            </w:pPr>
            <w:r>
              <w:rPr>
                <w:color w:val="231F20"/>
                <w:spacing w:val="-10"/>
                <w:sz w:val="14"/>
              </w:rPr>
              <w:t>M</w:t>
            </w:r>
          </w:p>
        </w:tc>
        <w:tc>
          <w:tcPr>
            <w:tcW w:w="964" w:type="dxa"/>
          </w:tcPr>
          <w:p w14:paraId="5DFCF606" w14:textId="77777777" w:rsidR="00B322A0" w:rsidRDefault="00000000">
            <w:pPr>
              <w:pStyle w:val="TableParagraph"/>
              <w:ind w:right="13"/>
              <w:rPr>
                <w:sz w:val="14"/>
              </w:rPr>
            </w:pPr>
            <w:r>
              <w:rPr>
                <w:color w:val="231F20"/>
                <w:spacing w:val="-10"/>
                <w:sz w:val="14"/>
              </w:rPr>
              <w:t>M</w:t>
            </w:r>
          </w:p>
        </w:tc>
        <w:tc>
          <w:tcPr>
            <w:tcW w:w="1050" w:type="dxa"/>
          </w:tcPr>
          <w:p w14:paraId="4C771F97" w14:textId="77777777" w:rsidR="00B322A0" w:rsidRDefault="00000000">
            <w:pPr>
              <w:pStyle w:val="TableParagraph"/>
              <w:ind w:right="10"/>
              <w:rPr>
                <w:sz w:val="14"/>
              </w:rPr>
            </w:pPr>
            <w:r>
              <w:rPr>
                <w:color w:val="231F20"/>
                <w:spacing w:val="-10"/>
                <w:sz w:val="14"/>
              </w:rPr>
              <w:t>M</w:t>
            </w:r>
          </w:p>
        </w:tc>
        <w:tc>
          <w:tcPr>
            <w:tcW w:w="1058" w:type="dxa"/>
          </w:tcPr>
          <w:p w14:paraId="1103D4C7" w14:textId="77777777" w:rsidR="00B322A0" w:rsidRDefault="00000000">
            <w:pPr>
              <w:pStyle w:val="TableParagraph"/>
              <w:ind w:right="8"/>
              <w:rPr>
                <w:sz w:val="14"/>
              </w:rPr>
            </w:pPr>
            <w:r>
              <w:rPr>
                <w:color w:val="231F20"/>
                <w:spacing w:val="-10"/>
                <w:sz w:val="14"/>
              </w:rPr>
              <w:t>M</w:t>
            </w:r>
          </w:p>
        </w:tc>
        <w:tc>
          <w:tcPr>
            <w:tcW w:w="840" w:type="dxa"/>
          </w:tcPr>
          <w:p w14:paraId="5B067F81" w14:textId="77777777" w:rsidR="00B322A0" w:rsidRDefault="00000000">
            <w:pPr>
              <w:pStyle w:val="TableParagraph"/>
              <w:ind w:left="20" w:right="5"/>
              <w:rPr>
                <w:sz w:val="14"/>
              </w:rPr>
            </w:pPr>
            <w:r>
              <w:rPr>
                <w:color w:val="231F20"/>
                <w:spacing w:val="-10"/>
                <w:sz w:val="14"/>
              </w:rPr>
              <w:t>M</w:t>
            </w:r>
          </w:p>
        </w:tc>
        <w:tc>
          <w:tcPr>
            <w:tcW w:w="747" w:type="dxa"/>
          </w:tcPr>
          <w:p w14:paraId="23564DF5" w14:textId="77777777" w:rsidR="00B322A0" w:rsidRDefault="00000000">
            <w:pPr>
              <w:pStyle w:val="TableParagraph"/>
              <w:ind w:right="4"/>
              <w:rPr>
                <w:sz w:val="14"/>
              </w:rPr>
            </w:pPr>
            <w:r>
              <w:rPr>
                <w:color w:val="231F20"/>
                <w:spacing w:val="-10"/>
                <w:sz w:val="14"/>
              </w:rPr>
              <w:t>M</w:t>
            </w:r>
          </w:p>
        </w:tc>
        <w:tc>
          <w:tcPr>
            <w:tcW w:w="747" w:type="dxa"/>
          </w:tcPr>
          <w:p w14:paraId="40F97E87" w14:textId="77777777" w:rsidR="00B322A0" w:rsidRDefault="00000000">
            <w:pPr>
              <w:pStyle w:val="TableParagraph"/>
              <w:ind w:left="23" w:right="4"/>
              <w:rPr>
                <w:sz w:val="14"/>
              </w:rPr>
            </w:pPr>
            <w:r>
              <w:rPr>
                <w:color w:val="231F20"/>
                <w:spacing w:val="-10"/>
                <w:sz w:val="14"/>
              </w:rPr>
              <w:t>M</w:t>
            </w:r>
          </w:p>
        </w:tc>
      </w:tr>
      <w:tr w:rsidR="00B322A0" w14:paraId="03343E1E" w14:textId="77777777">
        <w:trPr>
          <w:trHeight w:val="160"/>
        </w:trPr>
        <w:tc>
          <w:tcPr>
            <w:tcW w:w="1077" w:type="dxa"/>
          </w:tcPr>
          <w:p w14:paraId="1925C9FB" w14:textId="77777777" w:rsidR="00B322A0" w:rsidRDefault="00000000">
            <w:pPr>
              <w:pStyle w:val="TableParagraph"/>
              <w:ind w:left="216"/>
              <w:jc w:val="left"/>
              <w:rPr>
                <w:i/>
                <w:sz w:val="14"/>
              </w:rPr>
            </w:pPr>
            <w:r>
              <w:rPr>
                <w:i/>
                <w:color w:val="231F20"/>
                <w:sz w:val="14"/>
              </w:rPr>
              <w:t>E-</w:t>
            </w:r>
            <w:r>
              <w:rPr>
                <w:i/>
                <w:color w:val="231F20"/>
                <w:spacing w:val="-2"/>
                <w:sz w:val="14"/>
              </w:rPr>
              <w:t>cadherin</w:t>
            </w:r>
          </w:p>
        </w:tc>
        <w:tc>
          <w:tcPr>
            <w:tcW w:w="636" w:type="dxa"/>
          </w:tcPr>
          <w:p w14:paraId="59C25E33" w14:textId="77777777" w:rsidR="00B322A0" w:rsidRDefault="00000000">
            <w:pPr>
              <w:pStyle w:val="TableParagraph"/>
              <w:ind w:left="5"/>
              <w:rPr>
                <w:sz w:val="14"/>
              </w:rPr>
            </w:pPr>
            <w:r>
              <w:rPr>
                <w:color w:val="231F20"/>
                <w:spacing w:val="-10"/>
                <w:sz w:val="14"/>
              </w:rPr>
              <w:t>U</w:t>
            </w:r>
          </w:p>
        </w:tc>
        <w:tc>
          <w:tcPr>
            <w:tcW w:w="942" w:type="dxa"/>
          </w:tcPr>
          <w:p w14:paraId="10A4B754" w14:textId="77777777" w:rsidR="00B322A0" w:rsidRDefault="00000000">
            <w:pPr>
              <w:pStyle w:val="TableParagraph"/>
              <w:ind w:left="1" w:right="21"/>
              <w:rPr>
                <w:sz w:val="14"/>
              </w:rPr>
            </w:pPr>
            <w:r>
              <w:rPr>
                <w:color w:val="231F20"/>
                <w:spacing w:val="-10"/>
                <w:sz w:val="14"/>
              </w:rPr>
              <w:t>U</w:t>
            </w:r>
          </w:p>
        </w:tc>
        <w:tc>
          <w:tcPr>
            <w:tcW w:w="623" w:type="dxa"/>
          </w:tcPr>
          <w:p w14:paraId="1A19BB1A" w14:textId="77777777" w:rsidR="00B322A0" w:rsidRDefault="00000000">
            <w:pPr>
              <w:pStyle w:val="TableParagraph"/>
              <w:ind w:left="1" w:right="20"/>
              <w:rPr>
                <w:sz w:val="14"/>
              </w:rPr>
            </w:pPr>
            <w:r>
              <w:rPr>
                <w:color w:val="231F20"/>
                <w:spacing w:val="-10"/>
                <w:sz w:val="14"/>
              </w:rPr>
              <w:t>U</w:t>
            </w:r>
          </w:p>
        </w:tc>
        <w:tc>
          <w:tcPr>
            <w:tcW w:w="895" w:type="dxa"/>
          </w:tcPr>
          <w:p w14:paraId="682BA704" w14:textId="77777777" w:rsidR="00B322A0" w:rsidRDefault="00000000">
            <w:pPr>
              <w:pStyle w:val="TableParagraph"/>
              <w:ind w:left="3" w:right="21"/>
              <w:rPr>
                <w:sz w:val="14"/>
              </w:rPr>
            </w:pPr>
            <w:r>
              <w:rPr>
                <w:color w:val="231F20"/>
                <w:spacing w:val="-10"/>
                <w:sz w:val="14"/>
              </w:rPr>
              <w:t>U</w:t>
            </w:r>
          </w:p>
        </w:tc>
        <w:tc>
          <w:tcPr>
            <w:tcW w:w="731" w:type="dxa"/>
          </w:tcPr>
          <w:p w14:paraId="6DB324BC" w14:textId="77777777" w:rsidR="00B322A0" w:rsidRDefault="00000000">
            <w:pPr>
              <w:pStyle w:val="TableParagraph"/>
              <w:ind w:left="5" w:right="21"/>
              <w:rPr>
                <w:sz w:val="14"/>
              </w:rPr>
            </w:pPr>
            <w:r>
              <w:rPr>
                <w:color w:val="231F20"/>
                <w:spacing w:val="-10"/>
                <w:sz w:val="14"/>
              </w:rPr>
              <w:t>U</w:t>
            </w:r>
          </w:p>
        </w:tc>
        <w:tc>
          <w:tcPr>
            <w:tcW w:w="964" w:type="dxa"/>
          </w:tcPr>
          <w:p w14:paraId="0C9529CD" w14:textId="77777777" w:rsidR="00B322A0" w:rsidRDefault="00000000">
            <w:pPr>
              <w:pStyle w:val="TableParagraph"/>
              <w:ind w:left="8" w:right="21"/>
              <w:rPr>
                <w:sz w:val="14"/>
              </w:rPr>
            </w:pPr>
            <w:r>
              <w:rPr>
                <w:color w:val="231F20"/>
                <w:spacing w:val="-10"/>
                <w:sz w:val="14"/>
              </w:rPr>
              <w:t>U</w:t>
            </w:r>
          </w:p>
        </w:tc>
        <w:tc>
          <w:tcPr>
            <w:tcW w:w="1050" w:type="dxa"/>
          </w:tcPr>
          <w:p w14:paraId="5171475B" w14:textId="77777777" w:rsidR="00B322A0" w:rsidRDefault="00000000">
            <w:pPr>
              <w:pStyle w:val="TableParagraph"/>
              <w:ind w:left="11" w:right="21"/>
              <w:rPr>
                <w:sz w:val="14"/>
              </w:rPr>
            </w:pPr>
            <w:r>
              <w:rPr>
                <w:color w:val="231F20"/>
                <w:spacing w:val="-10"/>
                <w:sz w:val="14"/>
              </w:rPr>
              <w:t>U</w:t>
            </w:r>
          </w:p>
        </w:tc>
        <w:tc>
          <w:tcPr>
            <w:tcW w:w="1058" w:type="dxa"/>
          </w:tcPr>
          <w:p w14:paraId="01CB5C82" w14:textId="77777777" w:rsidR="00B322A0" w:rsidRDefault="00000000">
            <w:pPr>
              <w:pStyle w:val="TableParagraph"/>
              <w:ind w:right="8"/>
              <w:rPr>
                <w:sz w:val="14"/>
              </w:rPr>
            </w:pPr>
            <w:r>
              <w:rPr>
                <w:color w:val="231F20"/>
                <w:spacing w:val="-10"/>
                <w:sz w:val="14"/>
              </w:rPr>
              <w:t>M</w:t>
            </w:r>
          </w:p>
        </w:tc>
        <w:tc>
          <w:tcPr>
            <w:tcW w:w="840" w:type="dxa"/>
          </w:tcPr>
          <w:p w14:paraId="71A890A9" w14:textId="77777777" w:rsidR="00B322A0" w:rsidRDefault="00000000">
            <w:pPr>
              <w:pStyle w:val="TableParagraph"/>
              <w:ind w:left="20" w:right="5"/>
              <w:rPr>
                <w:sz w:val="14"/>
              </w:rPr>
            </w:pPr>
            <w:r>
              <w:rPr>
                <w:color w:val="231F20"/>
                <w:spacing w:val="-10"/>
                <w:sz w:val="14"/>
              </w:rPr>
              <w:t>M</w:t>
            </w:r>
          </w:p>
        </w:tc>
        <w:tc>
          <w:tcPr>
            <w:tcW w:w="747" w:type="dxa"/>
          </w:tcPr>
          <w:p w14:paraId="6AC28E64" w14:textId="77777777" w:rsidR="00B322A0" w:rsidRDefault="00000000">
            <w:pPr>
              <w:pStyle w:val="TableParagraph"/>
              <w:ind w:right="4"/>
              <w:rPr>
                <w:sz w:val="14"/>
              </w:rPr>
            </w:pPr>
            <w:r>
              <w:rPr>
                <w:color w:val="231F20"/>
                <w:spacing w:val="-10"/>
                <w:sz w:val="14"/>
              </w:rPr>
              <w:t>M</w:t>
            </w:r>
          </w:p>
        </w:tc>
        <w:tc>
          <w:tcPr>
            <w:tcW w:w="747" w:type="dxa"/>
          </w:tcPr>
          <w:p w14:paraId="44DD91EE" w14:textId="77777777" w:rsidR="00B322A0" w:rsidRDefault="00000000">
            <w:pPr>
              <w:pStyle w:val="TableParagraph"/>
              <w:ind w:left="23" w:right="4"/>
              <w:rPr>
                <w:sz w:val="14"/>
              </w:rPr>
            </w:pPr>
            <w:r>
              <w:rPr>
                <w:color w:val="231F20"/>
                <w:spacing w:val="-10"/>
                <w:sz w:val="14"/>
              </w:rPr>
              <w:t>M</w:t>
            </w:r>
          </w:p>
        </w:tc>
      </w:tr>
      <w:tr w:rsidR="00B322A0" w14:paraId="199FBE0B" w14:textId="77777777">
        <w:trPr>
          <w:trHeight w:val="160"/>
        </w:trPr>
        <w:tc>
          <w:tcPr>
            <w:tcW w:w="1077" w:type="dxa"/>
          </w:tcPr>
          <w:p w14:paraId="063FB289" w14:textId="77777777" w:rsidR="00B322A0" w:rsidRDefault="00000000">
            <w:pPr>
              <w:pStyle w:val="TableParagraph"/>
              <w:ind w:left="216"/>
              <w:jc w:val="left"/>
              <w:rPr>
                <w:i/>
                <w:sz w:val="14"/>
              </w:rPr>
            </w:pPr>
            <w:r>
              <w:rPr>
                <w:i/>
                <w:color w:val="231F20"/>
                <w:spacing w:val="-2"/>
                <w:sz w:val="14"/>
              </w:rPr>
              <w:t>Snail</w:t>
            </w:r>
          </w:p>
        </w:tc>
        <w:tc>
          <w:tcPr>
            <w:tcW w:w="636" w:type="dxa"/>
          </w:tcPr>
          <w:p w14:paraId="54B0D6A3" w14:textId="77777777" w:rsidR="00B322A0" w:rsidRDefault="00000000">
            <w:pPr>
              <w:pStyle w:val="TableParagraph"/>
              <w:ind w:left="5"/>
              <w:rPr>
                <w:sz w:val="14"/>
              </w:rPr>
            </w:pPr>
            <w:r>
              <w:rPr>
                <w:color w:val="231F20"/>
                <w:spacing w:val="-10"/>
                <w:sz w:val="14"/>
              </w:rPr>
              <w:t>U</w:t>
            </w:r>
          </w:p>
        </w:tc>
        <w:tc>
          <w:tcPr>
            <w:tcW w:w="942" w:type="dxa"/>
          </w:tcPr>
          <w:p w14:paraId="1F2703C6" w14:textId="77777777" w:rsidR="00B322A0" w:rsidRDefault="00000000">
            <w:pPr>
              <w:pStyle w:val="TableParagraph"/>
              <w:ind w:right="20"/>
              <w:rPr>
                <w:sz w:val="14"/>
              </w:rPr>
            </w:pPr>
            <w:r>
              <w:rPr>
                <w:color w:val="231F20"/>
                <w:spacing w:val="-10"/>
                <w:sz w:val="14"/>
              </w:rPr>
              <w:t>M</w:t>
            </w:r>
          </w:p>
        </w:tc>
        <w:tc>
          <w:tcPr>
            <w:tcW w:w="623" w:type="dxa"/>
          </w:tcPr>
          <w:p w14:paraId="36C881F2" w14:textId="77777777" w:rsidR="00B322A0" w:rsidRDefault="00000000">
            <w:pPr>
              <w:pStyle w:val="TableParagraph"/>
              <w:ind w:left="20" w:right="19"/>
              <w:rPr>
                <w:sz w:val="14"/>
              </w:rPr>
            </w:pPr>
            <w:r>
              <w:rPr>
                <w:color w:val="231F20"/>
                <w:spacing w:val="-10"/>
                <w:sz w:val="14"/>
              </w:rPr>
              <w:t>M</w:t>
            </w:r>
          </w:p>
        </w:tc>
        <w:tc>
          <w:tcPr>
            <w:tcW w:w="895" w:type="dxa"/>
          </w:tcPr>
          <w:p w14:paraId="452DF189" w14:textId="77777777" w:rsidR="00B322A0" w:rsidRDefault="00000000">
            <w:pPr>
              <w:pStyle w:val="TableParagraph"/>
              <w:ind w:right="18"/>
              <w:rPr>
                <w:sz w:val="14"/>
              </w:rPr>
            </w:pPr>
            <w:r>
              <w:rPr>
                <w:color w:val="231F20"/>
                <w:spacing w:val="-10"/>
                <w:sz w:val="14"/>
              </w:rPr>
              <w:t>M</w:t>
            </w:r>
          </w:p>
        </w:tc>
        <w:tc>
          <w:tcPr>
            <w:tcW w:w="731" w:type="dxa"/>
          </w:tcPr>
          <w:p w14:paraId="0E97FFB2" w14:textId="77777777" w:rsidR="00B322A0" w:rsidRDefault="00000000">
            <w:pPr>
              <w:pStyle w:val="TableParagraph"/>
              <w:ind w:right="16"/>
              <w:rPr>
                <w:sz w:val="14"/>
              </w:rPr>
            </w:pPr>
            <w:r>
              <w:rPr>
                <w:color w:val="231F20"/>
                <w:spacing w:val="-10"/>
                <w:sz w:val="14"/>
              </w:rPr>
              <w:t>M</w:t>
            </w:r>
          </w:p>
        </w:tc>
        <w:tc>
          <w:tcPr>
            <w:tcW w:w="964" w:type="dxa"/>
          </w:tcPr>
          <w:p w14:paraId="78390ADB" w14:textId="77777777" w:rsidR="00B322A0" w:rsidRDefault="00000000">
            <w:pPr>
              <w:pStyle w:val="TableParagraph"/>
              <w:ind w:right="13"/>
              <w:rPr>
                <w:sz w:val="14"/>
              </w:rPr>
            </w:pPr>
            <w:r>
              <w:rPr>
                <w:color w:val="231F20"/>
                <w:spacing w:val="-10"/>
                <w:sz w:val="14"/>
              </w:rPr>
              <w:t>M</w:t>
            </w:r>
          </w:p>
        </w:tc>
        <w:tc>
          <w:tcPr>
            <w:tcW w:w="1050" w:type="dxa"/>
          </w:tcPr>
          <w:p w14:paraId="3F62606E" w14:textId="77777777" w:rsidR="00B322A0" w:rsidRDefault="00000000">
            <w:pPr>
              <w:pStyle w:val="TableParagraph"/>
              <w:ind w:right="10"/>
              <w:rPr>
                <w:sz w:val="14"/>
              </w:rPr>
            </w:pPr>
            <w:r>
              <w:rPr>
                <w:color w:val="231F20"/>
                <w:spacing w:val="-10"/>
                <w:sz w:val="14"/>
              </w:rPr>
              <w:t>M</w:t>
            </w:r>
          </w:p>
        </w:tc>
        <w:tc>
          <w:tcPr>
            <w:tcW w:w="1058" w:type="dxa"/>
          </w:tcPr>
          <w:p w14:paraId="3C1A32F4" w14:textId="77777777" w:rsidR="00B322A0" w:rsidRDefault="00000000">
            <w:pPr>
              <w:pStyle w:val="TableParagraph"/>
              <w:ind w:left="13" w:right="21"/>
              <w:rPr>
                <w:sz w:val="14"/>
              </w:rPr>
            </w:pPr>
            <w:r>
              <w:rPr>
                <w:color w:val="231F20"/>
                <w:spacing w:val="-10"/>
                <w:sz w:val="14"/>
              </w:rPr>
              <w:t>U</w:t>
            </w:r>
          </w:p>
        </w:tc>
        <w:tc>
          <w:tcPr>
            <w:tcW w:w="840" w:type="dxa"/>
          </w:tcPr>
          <w:p w14:paraId="5421900F" w14:textId="77777777" w:rsidR="00B322A0" w:rsidRDefault="00000000">
            <w:pPr>
              <w:pStyle w:val="TableParagraph"/>
              <w:ind w:left="15" w:right="20"/>
              <w:rPr>
                <w:sz w:val="14"/>
              </w:rPr>
            </w:pPr>
            <w:r>
              <w:rPr>
                <w:color w:val="231F20"/>
                <w:spacing w:val="-10"/>
                <w:sz w:val="14"/>
              </w:rPr>
              <w:t>U</w:t>
            </w:r>
          </w:p>
        </w:tc>
        <w:tc>
          <w:tcPr>
            <w:tcW w:w="747" w:type="dxa"/>
          </w:tcPr>
          <w:p w14:paraId="26A06BFD" w14:textId="77777777" w:rsidR="00B322A0" w:rsidRDefault="00000000">
            <w:pPr>
              <w:pStyle w:val="TableParagraph"/>
              <w:ind w:left="19" w:right="23"/>
              <w:rPr>
                <w:sz w:val="14"/>
              </w:rPr>
            </w:pPr>
            <w:r>
              <w:rPr>
                <w:color w:val="231F20"/>
                <w:spacing w:val="-10"/>
                <w:sz w:val="14"/>
              </w:rPr>
              <w:t>U</w:t>
            </w:r>
          </w:p>
        </w:tc>
        <w:tc>
          <w:tcPr>
            <w:tcW w:w="747" w:type="dxa"/>
          </w:tcPr>
          <w:p w14:paraId="735B88E5" w14:textId="77777777" w:rsidR="00B322A0" w:rsidRDefault="00000000">
            <w:pPr>
              <w:pStyle w:val="TableParagraph"/>
              <w:ind w:left="19" w:right="21"/>
              <w:rPr>
                <w:sz w:val="14"/>
              </w:rPr>
            </w:pPr>
            <w:r>
              <w:rPr>
                <w:color w:val="231F20"/>
                <w:spacing w:val="-10"/>
                <w:sz w:val="14"/>
              </w:rPr>
              <w:t>U</w:t>
            </w:r>
          </w:p>
        </w:tc>
      </w:tr>
      <w:tr w:rsidR="00B322A0" w14:paraId="49F7B276" w14:textId="77777777">
        <w:trPr>
          <w:trHeight w:val="185"/>
        </w:trPr>
        <w:tc>
          <w:tcPr>
            <w:tcW w:w="1077" w:type="dxa"/>
            <w:tcBorders>
              <w:bottom w:val="single" w:sz="4" w:space="0" w:color="231F20"/>
            </w:tcBorders>
          </w:tcPr>
          <w:p w14:paraId="204A616C" w14:textId="77777777" w:rsidR="00B322A0" w:rsidRDefault="00000000">
            <w:pPr>
              <w:pStyle w:val="TableParagraph"/>
              <w:spacing w:line="158" w:lineRule="exact"/>
              <w:ind w:left="216"/>
              <w:jc w:val="left"/>
              <w:rPr>
                <w:i/>
                <w:sz w:val="14"/>
              </w:rPr>
            </w:pPr>
            <w:r>
              <w:rPr>
                <w:i/>
                <w:color w:val="231F20"/>
                <w:spacing w:val="-4"/>
                <w:sz w:val="14"/>
              </w:rPr>
              <w:t>MLT1</w:t>
            </w:r>
          </w:p>
        </w:tc>
        <w:tc>
          <w:tcPr>
            <w:tcW w:w="636" w:type="dxa"/>
            <w:tcBorders>
              <w:bottom w:val="single" w:sz="4" w:space="0" w:color="231F20"/>
            </w:tcBorders>
          </w:tcPr>
          <w:p w14:paraId="60883344" w14:textId="77777777" w:rsidR="00B322A0" w:rsidRDefault="00000000">
            <w:pPr>
              <w:pStyle w:val="TableParagraph"/>
              <w:spacing w:line="158" w:lineRule="exact"/>
              <w:ind w:left="5"/>
              <w:rPr>
                <w:sz w:val="14"/>
              </w:rPr>
            </w:pPr>
            <w:r>
              <w:rPr>
                <w:color w:val="231F20"/>
                <w:spacing w:val="-10"/>
                <w:sz w:val="14"/>
              </w:rPr>
              <w:t>U</w:t>
            </w:r>
          </w:p>
        </w:tc>
        <w:tc>
          <w:tcPr>
            <w:tcW w:w="942" w:type="dxa"/>
            <w:tcBorders>
              <w:bottom w:val="single" w:sz="4" w:space="0" w:color="231F20"/>
            </w:tcBorders>
          </w:tcPr>
          <w:p w14:paraId="64239908" w14:textId="77777777" w:rsidR="00B322A0" w:rsidRDefault="00000000">
            <w:pPr>
              <w:pStyle w:val="TableParagraph"/>
              <w:spacing w:line="158" w:lineRule="exact"/>
              <w:ind w:right="20"/>
              <w:rPr>
                <w:sz w:val="14"/>
              </w:rPr>
            </w:pPr>
            <w:r>
              <w:rPr>
                <w:color w:val="231F20"/>
                <w:spacing w:val="-10"/>
                <w:sz w:val="14"/>
              </w:rPr>
              <w:t>M</w:t>
            </w:r>
          </w:p>
        </w:tc>
        <w:tc>
          <w:tcPr>
            <w:tcW w:w="623" w:type="dxa"/>
            <w:tcBorders>
              <w:bottom w:val="single" w:sz="4" w:space="0" w:color="231F20"/>
            </w:tcBorders>
          </w:tcPr>
          <w:p w14:paraId="44B2C63C" w14:textId="77777777" w:rsidR="00B322A0" w:rsidRDefault="00000000">
            <w:pPr>
              <w:pStyle w:val="TableParagraph"/>
              <w:spacing w:line="158" w:lineRule="exact"/>
              <w:ind w:left="20" w:right="19"/>
              <w:rPr>
                <w:sz w:val="14"/>
              </w:rPr>
            </w:pPr>
            <w:r>
              <w:rPr>
                <w:color w:val="231F20"/>
                <w:spacing w:val="-10"/>
                <w:sz w:val="14"/>
              </w:rPr>
              <w:t>M</w:t>
            </w:r>
          </w:p>
        </w:tc>
        <w:tc>
          <w:tcPr>
            <w:tcW w:w="895" w:type="dxa"/>
            <w:tcBorders>
              <w:bottom w:val="single" w:sz="4" w:space="0" w:color="231F20"/>
            </w:tcBorders>
          </w:tcPr>
          <w:p w14:paraId="196BCF14" w14:textId="77777777" w:rsidR="00B322A0" w:rsidRDefault="00000000">
            <w:pPr>
              <w:pStyle w:val="TableParagraph"/>
              <w:spacing w:line="158" w:lineRule="exact"/>
              <w:ind w:right="18"/>
              <w:rPr>
                <w:sz w:val="14"/>
              </w:rPr>
            </w:pPr>
            <w:r>
              <w:rPr>
                <w:color w:val="231F20"/>
                <w:spacing w:val="-10"/>
                <w:sz w:val="14"/>
              </w:rPr>
              <w:t>M</w:t>
            </w:r>
          </w:p>
        </w:tc>
        <w:tc>
          <w:tcPr>
            <w:tcW w:w="731" w:type="dxa"/>
            <w:tcBorders>
              <w:bottom w:val="single" w:sz="4" w:space="0" w:color="231F20"/>
            </w:tcBorders>
          </w:tcPr>
          <w:p w14:paraId="57F3FF97" w14:textId="77777777" w:rsidR="00B322A0" w:rsidRDefault="00000000">
            <w:pPr>
              <w:pStyle w:val="TableParagraph"/>
              <w:spacing w:line="158" w:lineRule="exact"/>
              <w:ind w:right="16"/>
              <w:rPr>
                <w:sz w:val="14"/>
              </w:rPr>
            </w:pPr>
            <w:r>
              <w:rPr>
                <w:color w:val="231F20"/>
                <w:spacing w:val="-10"/>
                <w:sz w:val="14"/>
              </w:rPr>
              <w:t>M</w:t>
            </w:r>
          </w:p>
        </w:tc>
        <w:tc>
          <w:tcPr>
            <w:tcW w:w="964" w:type="dxa"/>
            <w:tcBorders>
              <w:bottom w:val="single" w:sz="4" w:space="0" w:color="231F20"/>
            </w:tcBorders>
          </w:tcPr>
          <w:p w14:paraId="46A12F14" w14:textId="77777777" w:rsidR="00B322A0" w:rsidRDefault="00000000">
            <w:pPr>
              <w:pStyle w:val="TableParagraph"/>
              <w:spacing w:line="158" w:lineRule="exact"/>
              <w:ind w:right="13"/>
              <w:rPr>
                <w:sz w:val="14"/>
              </w:rPr>
            </w:pPr>
            <w:r>
              <w:rPr>
                <w:color w:val="231F20"/>
                <w:spacing w:val="-10"/>
                <w:sz w:val="14"/>
              </w:rPr>
              <w:t>M</w:t>
            </w:r>
          </w:p>
        </w:tc>
        <w:tc>
          <w:tcPr>
            <w:tcW w:w="1050" w:type="dxa"/>
            <w:tcBorders>
              <w:bottom w:val="single" w:sz="4" w:space="0" w:color="231F20"/>
            </w:tcBorders>
          </w:tcPr>
          <w:p w14:paraId="3097E955" w14:textId="77777777" w:rsidR="00B322A0" w:rsidRDefault="00000000">
            <w:pPr>
              <w:pStyle w:val="TableParagraph"/>
              <w:spacing w:line="158" w:lineRule="exact"/>
              <w:ind w:right="10"/>
              <w:rPr>
                <w:sz w:val="14"/>
              </w:rPr>
            </w:pPr>
            <w:r>
              <w:rPr>
                <w:color w:val="231F20"/>
                <w:spacing w:val="-10"/>
                <w:sz w:val="14"/>
              </w:rPr>
              <w:t>M</w:t>
            </w:r>
          </w:p>
        </w:tc>
        <w:tc>
          <w:tcPr>
            <w:tcW w:w="1058" w:type="dxa"/>
            <w:tcBorders>
              <w:bottom w:val="single" w:sz="4" w:space="0" w:color="231F20"/>
            </w:tcBorders>
          </w:tcPr>
          <w:p w14:paraId="4EDF3E44" w14:textId="77777777" w:rsidR="00B322A0" w:rsidRDefault="00000000">
            <w:pPr>
              <w:pStyle w:val="TableParagraph"/>
              <w:spacing w:line="158" w:lineRule="exact"/>
              <w:ind w:right="8"/>
              <w:rPr>
                <w:sz w:val="14"/>
              </w:rPr>
            </w:pPr>
            <w:r>
              <w:rPr>
                <w:color w:val="231F20"/>
                <w:spacing w:val="-10"/>
                <w:sz w:val="14"/>
              </w:rPr>
              <w:t>M</w:t>
            </w:r>
          </w:p>
        </w:tc>
        <w:tc>
          <w:tcPr>
            <w:tcW w:w="840" w:type="dxa"/>
            <w:tcBorders>
              <w:bottom w:val="single" w:sz="4" w:space="0" w:color="231F20"/>
            </w:tcBorders>
          </w:tcPr>
          <w:p w14:paraId="65648F1E" w14:textId="77777777" w:rsidR="00B322A0" w:rsidRDefault="00000000">
            <w:pPr>
              <w:pStyle w:val="TableParagraph"/>
              <w:spacing w:line="158" w:lineRule="exact"/>
              <w:ind w:left="20" w:right="5"/>
              <w:rPr>
                <w:sz w:val="14"/>
              </w:rPr>
            </w:pPr>
            <w:r>
              <w:rPr>
                <w:color w:val="231F20"/>
                <w:spacing w:val="-10"/>
                <w:sz w:val="14"/>
              </w:rPr>
              <w:t>M</w:t>
            </w:r>
          </w:p>
        </w:tc>
        <w:tc>
          <w:tcPr>
            <w:tcW w:w="747" w:type="dxa"/>
            <w:tcBorders>
              <w:bottom w:val="single" w:sz="4" w:space="0" w:color="231F20"/>
            </w:tcBorders>
          </w:tcPr>
          <w:p w14:paraId="5DD358A0" w14:textId="77777777" w:rsidR="00B322A0" w:rsidRDefault="00000000">
            <w:pPr>
              <w:pStyle w:val="TableParagraph"/>
              <w:spacing w:line="158" w:lineRule="exact"/>
              <w:ind w:right="4"/>
              <w:rPr>
                <w:sz w:val="14"/>
              </w:rPr>
            </w:pPr>
            <w:r>
              <w:rPr>
                <w:color w:val="231F20"/>
                <w:spacing w:val="-10"/>
                <w:sz w:val="14"/>
              </w:rPr>
              <w:t>M</w:t>
            </w:r>
          </w:p>
        </w:tc>
        <w:tc>
          <w:tcPr>
            <w:tcW w:w="747" w:type="dxa"/>
            <w:tcBorders>
              <w:bottom w:val="single" w:sz="4" w:space="0" w:color="231F20"/>
            </w:tcBorders>
          </w:tcPr>
          <w:p w14:paraId="0FFBCD17" w14:textId="77777777" w:rsidR="00B322A0" w:rsidRDefault="00000000">
            <w:pPr>
              <w:pStyle w:val="TableParagraph"/>
              <w:spacing w:line="158" w:lineRule="exact"/>
              <w:ind w:left="23" w:right="4"/>
              <w:rPr>
                <w:sz w:val="14"/>
              </w:rPr>
            </w:pPr>
            <w:r>
              <w:rPr>
                <w:color w:val="231F20"/>
                <w:spacing w:val="-10"/>
                <w:sz w:val="14"/>
              </w:rPr>
              <w:t>M</w:t>
            </w:r>
          </w:p>
        </w:tc>
      </w:tr>
    </w:tbl>
    <w:p w14:paraId="3E86412B" w14:textId="77777777" w:rsidR="00B322A0" w:rsidRDefault="00000000">
      <w:pPr>
        <w:spacing w:before="23"/>
        <w:ind w:left="283"/>
        <w:rPr>
          <w:sz w:val="14"/>
        </w:rPr>
      </w:pPr>
      <w:r>
        <w:rPr>
          <w:color w:val="231F20"/>
          <w:sz w:val="14"/>
        </w:rPr>
        <w:t>Abbreviations:</w:t>
      </w:r>
      <w:r>
        <w:rPr>
          <w:color w:val="231F20"/>
          <w:spacing w:val="11"/>
          <w:sz w:val="14"/>
        </w:rPr>
        <w:t xml:space="preserve"> </w:t>
      </w:r>
      <w:r>
        <w:rPr>
          <w:color w:val="231F20"/>
          <w:sz w:val="14"/>
        </w:rPr>
        <w:t>NS,</w:t>
      </w:r>
      <w:r>
        <w:rPr>
          <w:color w:val="231F20"/>
          <w:spacing w:val="11"/>
          <w:sz w:val="14"/>
        </w:rPr>
        <w:t xml:space="preserve"> </w:t>
      </w:r>
      <w:r>
        <w:rPr>
          <w:color w:val="231F20"/>
          <w:sz w:val="14"/>
        </w:rPr>
        <w:t>normal</w:t>
      </w:r>
      <w:r>
        <w:rPr>
          <w:color w:val="231F20"/>
          <w:spacing w:val="11"/>
          <w:sz w:val="14"/>
        </w:rPr>
        <w:t xml:space="preserve"> </w:t>
      </w:r>
      <w:r>
        <w:rPr>
          <w:color w:val="231F20"/>
          <w:sz w:val="14"/>
        </w:rPr>
        <w:t>skin;</w:t>
      </w:r>
      <w:r>
        <w:rPr>
          <w:color w:val="231F20"/>
          <w:spacing w:val="11"/>
          <w:sz w:val="14"/>
        </w:rPr>
        <w:t xml:space="preserve"> </w:t>
      </w:r>
      <w:r>
        <w:rPr>
          <w:color w:val="231F20"/>
          <w:sz w:val="14"/>
        </w:rPr>
        <w:t>M,</w:t>
      </w:r>
      <w:r>
        <w:rPr>
          <w:color w:val="231F20"/>
          <w:spacing w:val="11"/>
          <w:sz w:val="14"/>
        </w:rPr>
        <w:t xml:space="preserve"> </w:t>
      </w:r>
      <w:r>
        <w:rPr>
          <w:color w:val="231F20"/>
          <w:sz w:val="14"/>
        </w:rPr>
        <w:t>methylated;</w:t>
      </w:r>
      <w:r>
        <w:rPr>
          <w:color w:val="231F20"/>
          <w:spacing w:val="11"/>
          <w:sz w:val="14"/>
        </w:rPr>
        <w:t xml:space="preserve"> </w:t>
      </w:r>
      <w:r>
        <w:rPr>
          <w:color w:val="231F20"/>
          <w:sz w:val="14"/>
        </w:rPr>
        <w:t>U,</w:t>
      </w:r>
      <w:r>
        <w:rPr>
          <w:color w:val="231F20"/>
          <w:spacing w:val="11"/>
          <w:sz w:val="14"/>
        </w:rPr>
        <w:t xml:space="preserve"> </w:t>
      </w:r>
      <w:r>
        <w:rPr>
          <w:color w:val="231F20"/>
          <w:spacing w:val="-2"/>
          <w:sz w:val="14"/>
        </w:rPr>
        <w:t>unmethylated.</w:t>
      </w:r>
    </w:p>
    <w:p w14:paraId="3F7EE277" w14:textId="77777777" w:rsidR="00B322A0" w:rsidRDefault="00B322A0">
      <w:pPr>
        <w:rPr>
          <w:sz w:val="14"/>
        </w:rPr>
        <w:sectPr w:rsidR="00B322A0" w:rsidSect="00BA4BCE">
          <w:type w:val="continuous"/>
          <w:pgSz w:w="11700" w:h="15660"/>
          <w:pgMar w:top="420" w:right="560" w:bottom="920" w:left="600" w:header="428" w:footer="719" w:gutter="0"/>
          <w:cols w:space="720"/>
        </w:sectPr>
      </w:pPr>
    </w:p>
    <w:p w14:paraId="01C2D2E4" w14:textId="77777777" w:rsidR="00B322A0" w:rsidRDefault="00000000">
      <w:pPr>
        <w:pStyle w:val="Textoindependiente"/>
        <w:spacing w:before="20"/>
        <w:ind w:left="0"/>
        <w:rPr>
          <w:sz w:val="20"/>
        </w:rPr>
      </w:pPr>
      <w:r>
        <w:rPr>
          <w:noProof/>
        </w:rPr>
        <w:lastRenderedPageBreak/>
        <mc:AlternateContent>
          <mc:Choice Requires="wps">
            <w:drawing>
              <wp:anchor distT="0" distB="0" distL="0" distR="0" simplePos="0" relativeHeight="15731712" behindDoc="0" locked="0" layoutInCell="1" allowOverlap="1" wp14:anchorId="68FD5CAC" wp14:editId="5AD92799">
                <wp:simplePos x="0" y="0"/>
                <wp:positionH relativeFrom="page">
                  <wp:posOffset>7108425</wp:posOffset>
                </wp:positionH>
                <wp:positionV relativeFrom="page">
                  <wp:posOffset>1928114</wp:posOffset>
                </wp:positionV>
                <wp:extent cx="111125" cy="619950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68F84BCC"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20">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68FD5CAC" id="Textbox 10" o:spid="_x0000_s1029" type="#_x0000_t202" style="position:absolute;margin-left:559.7pt;margin-top:151.8pt;width:8.75pt;height:488.15pt;z-index:1573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" filled="f" stroked="f">
                <v:textbox style="layout-flow:vertical" inset="0,0,0,0">
                  <w:txbxContent>
                    <w:p w14:paraId="68F84BCC"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21">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p>
    <w:p w14:paraId="2A211845" w14:textId="77777777" w:rsidR="00B322A0" w:rsidRDefault="00000000">
      <w:pPr>
        <w:pStyle w:val="Textoindependiente"/>
        <w:ind w:right="-15"/>
        <w:rPr>
          <w:sz w:val="20"/>
        </w:rPr>
      </w:pPr>
      <w:r>
        <w:rPr>
          <w:noProof/>
          <w:sz w:val="20"/>
        </w:rPr>
        <w:drawing>
          <wp:inline distT="0" distB="0" distL="0" distR="0" wp14:anchorId="57D0EEC0" wp14:editId="0564113F">
            <wp:extent cx="3203822" cy="4754880"/>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22" cstate="print"/>
                    <a:stretch>
                      <a:fillRect/>
                    </a:stretch>
                  </pic:blipFill>
                  <pic:spPr>
                    <a:xfrm>
                      <a:off x="0" y="0"/>
                      <a:ext cx="3203822" cy="4754880"/>
                    </a:xfrm>
                    <a:prstGeom prst="rect">
                      <a:avLst/>
                    </a:prstGeom>
                  </pic:spPr>
                </pic:pic>
              </a:graphicData>
            </a:graphic>
          </wp:inline>
        </w:drawing>
      </w:r>
    </w:p>
    <w:p w14:paraId="52ACE5AF" w14:textId="77777777" w:rsidR="00B322A0" w:rsidRDefault="00000000">
      <w:pPr>
        <w:spacing w:before="82" w:line="237" w:lineRule="auto"/>
        <w:ind w:left="103" w:right="38" w:firstLine="180"/>
        <w:jc w:val="both"/>
        <w:rPr>
          <w:sz w:val="14"/>
        </w:rPr>
      </w:pPr>
      <w:r>
        <w:rPr>
          <w:color w:val="231F20"/>
          <w:spacing w:val="-2"/>
          <w:w w:val="105"/>
          <w:sz w:val="14"/>
        </w:rPr>
        <w:t>Fig. 2. CpG island methylation-associated silencing of candidate genes in the mouse</w:t>
      </w:r>
      <w:r>
        <w:rPr>
          <w:color w:val="231F20"/>
          <w:spacing w:val="40"/>
          <w:w w:val="105"/>
          <w:sz w:val="14"/>
        </w:rPr>
        <w:t xml:space="preserve"> </w:t>
      </w:r>
      <w:r>
        <w:rPr>
          <w:color w:val="231F20"/>
          <w:w w:val="105"/>
          <w:sz w:val="14"/>
        </w:rPr>
        <w:t>tumor</w:t>
      </w:r>
      <w:r>
        <w:rPr>
          <w:color w:val="231F20"/>
          <w:spacing w:val="-7"/>
          <w:w w:val="105"/>
          <w:sz w:val="14"/>
        </w:rPr>
        <w:t xml:space="preserve"> </w:t>
      </w:r>
      <w:r>
        <w:rPr>
          <w:color w:val="231F20"/>
          <w:w w:val="105"/>
          <w:sz w:val="14"/>
        </w:rPr>
        <w:t>progression.</w:t>
      </w:r>
      <w:r>
        <w:rPr>
          <w:color w:val="231F20"/>
          <w:spacing w:val="-7"/>
          <w:w w:val="105"/>
          <w:sz w:val="14"/>
        </w:rPr>
        <w:t xml:space="preserve"> </w:t>
      </w:r>
      <w:r>
        <w:rPr>
          <w:i/>
          <w:color w:val="231F20"/>
          <w:w w:val="105"/>
          <w:sz w:val="14"/>
        </w:rPr>
        <w:t>A,</w:t>
      </w:r>
      <w:r>
        <w:rPr>
          <w:i/>
          <w:color w:val="231F20"/>
          <w:spacing w:val="-7"/>
          <w:w w:val="105"/>
          <w:sz w:val="14"/>
        </w:rPr>
        <w:t xml:space="preserve"> </w:t>
      </w:r>
      <w:r>
        <w:rPr>
          <w:color w:val="231F20"/>
          <w:w w:val="105"/>
          <w:sz w:val="14"/>
        </w:rPr>
        <w:t>schematic</w:t>
      </w:r>
      <w:r>
        <w:rPr>
          <w:color w:val="231F20"/>
          <w:spacing w:val="-7"/>
          <w:w w:val="105"/>
          <w:sz w:val="14"/>
        </w:rPr>
        <w:t xml:space="preserve"> </w:t>
      </w:r>
      <w:r>
        <w:rPr>
          <w:color w:val="231F20"/>
          <w:w w:val="105"/>
          <w:sz w:val="14"/>
        </w:rPr>
        <w:t>representation</w:t>
      </w:r>
      <w:r>
        <w:rPr>
          <w:color w:val="231F20"/>
          <w:spacing w:val="-7"/>
          <w:w w:val="105"/>
          <w:sz w:val="14"/>
        </w:rPr>
        <w:t xml:space="preserve"> </w:t>
      </w:r>
      <w:r>
        <w:rPr>
          <w:color w:val="231F20"/>
          <w:w w:val="105"/>
          <w:sz w:val="14"/>
        </w:rPr>
        <w:t>of</w:t>
      </w:r>
      <w:r>
        <w:rPr>
          <w:color w:val="231F20"/>
          <w:spacing w:val="-7"/>
          <w:w w:val="105"/>
          <w:sz w:val="14"/>
        </w:rPr>
        <w:t xml:space="preserve"> </w:t>
      </w:r>
      <w:r>
        <w:rPr>
          <w:color w:val="231F20"/>
          <w:w w:val="105"/>
          <w:sz w:val="14"/>
        </w:rPr>
        <w:t>the</w:t>
      </w:r>
      <w:r>
        <w:rPr>
          <w:color w:val="231F20"/>
          <w:spacing w:val="-7"/>
          <w:w w:val="105"/>
          <w:sz w:val="14"/>
        </w:rPr>
        <w:t xml:space="preserve"> </w:t>
      </w:r>
      <w:r>
        <w:rPr>
          <w:color w:val="231F20"/>
          <w:w w:val="105"/>
          <w:sz w:val="14"/>
        </w:rPr>
        <w:t>E-cadherin</w:t>
      </w:r>
      <w:r>
        <w:rPr>
          <w:color w:val="231F20"/>
          <w:spacing w:val="-7"/>
          <w:w w:val="105"/>
          <w:sz w:val="14"/>
        </w:rPr>
        <w:t xml:space="preserve"> </w:t>
      </w:r>
      <w:r>
        <w:rPr>
          <w:color w:val="231F20"/>
          <w:w w:val="105"/>
          <w:sz w:val="14"/>
        </w:rPr>
        <w:t>CpG</w:t>
      </w:r>
      <w:r>
        <w:rPr>
          <w:color w:val="231F20"/>
          <w:spacing w:val="-7"/>
          <w:w w:val="105"/>
          <w:sz w:val="14"/>
        </w:rPr>
        <w:t xml:space="preserve"> </w:t>
      </w:r>
      <w:r>
        <w:rPr>
          <w:color w:val="231F20"/>
          <w:w w:val="105"/>
          <w:sz w:val="14"/>
        </w:rPr>
        <w:t>island,</w:t>
      </w:r>
      <w:r>
        <w:rPr>
          <w:color w:val="231F20"/>
          <w:spacing w:val="-7"/>
          <w:w w:val="105"/>
          <w:sz w:val="14"/>
        </w:rPr>
        <w:t xml:space="preserve"> </w:t>
      </w:r>
      <w:r>
        <w:rPr>
          <w:color w:val="231F20"/>
          <w:w w:val="105"/>
          <w:sz w:val="14"/>
        </w:rPr>
        <w:t>where</w:t>
      </w:r>
      <w:r>
        <w:rPr>
          <w:color w:val="231F20"/>
          <w:spacing w:val="-7"/>
          <w:w w:val="105"/>
          <w:sz w:val="14"/>
        </w:rPr>
        <w:t xml:space="preserve"> </w:t>
      </w:r>
      <w:r>
        <w:rPr>
          <w:color w:val="231F20"/>
          <w:w w:val="105"/>
          <w:sz w:val="14"/>
        </w:rPr>
        <w:t>F</w:t>
      </w:r>
      <w:r>
        <w:rPr>
          <w:color w:val="231F20"/>
          <w:spacing w:val="40"/>
          <w:w w:val="105"/>
          <w:sz w:val="14"/>
        </w:rPr>
        <w:t xml:space="preserve"> </w:t>
      </w:r>
      <w:r>
        <w:rPr>
          <w:color w:val="231F20"/>
          <w:w w:val="105"/>
          <w:sz w:val="14"/>
        </w:rPr>
        <w:t xml:space="preserve">indicate methylated CpGs and E unmethylated CpGs. The </w:t>
      </w:r>
      <w:r>
        <w:rPr>
          <w:i/>
          <w:color w:val="231F20"/>
          <w:w w:val="105"/>
          <w:sz w:val="14"/>
        </w:rPr>
        <w:t xml:space="preserve">black arrows </w:t>
      </w:r>
      <w:r>
        <w:rPr>
          <w:color w:val="231F20"/>
          <w:w w:val="105"/>
          <w:sz w:val="14"/>
        </w:rPr>
        <w:t>indicate the</w:t>
      </w:r>
      <w:r>
        <w:rPr>
          <w:color w:val="231F20"/>
          <w:spacing w:val="40"/>
          <w:w w:val="105"/>
          <w:sz w:val="14"/>
        </w:rPr>
        <w:t xml:space="preserve"> </w:t>
      </w:r>
      <w:r>
        <w:rPr>
          <w:color w:val="231F20"/>
          <w:sz w:val="14"/>
        </w:rPr>
        <w:t>position</w:t>
      </w:r>
      <w:r>
        <w:rPr>
          <w:color w:val="231F20"/>
          <w:spacing w:val="-7"/>
          <w:sz w:val="14"/>
        </w:rPr>
        <w:t xml:space="preserve"> </w:t>
      </w:r>
      <w:r>
        <w:rPr>
          <w:color w:val="231F20"/>
          <w:sz w:val="14"/>
        </w:rPr>
        <w:t>of</w:t>
      </w:r>
      <w:r>
        <w:rPr>
          <w:color w:val="231F20"/>
          <w:spacing w:val="-7"/>
          <w:sz w:val="14"/>
        </w:rPr>
        <w:t xml:space="preserve"> </w:t>
      </w:r>
      <w:r>
        <w:rPr>
          <w:color w:val="231F20"/>
          <w:sz w:val="14"/>
        </w:rPr>
        <w:t>the</w:t>
      </w:r>
      <w:r>
        <w:rPr>
          <w:color w:val="231F20"/>
          <w:spacing w:val="-7"/>
          <w:sz w:val="14"/>
        </w:rPr>
        <w:t xml:space="preserve"> </w:t>
      </w:r>
      <w:r>
        <w:rPr>
          <w:color w:val="231F20"/>
          <w:sz w:val="14"/>
        </w:rPr>
        <w:t>transcription</w:t>
      </w:r>
      <w:r>
        <w:rPr>
          <w:color w:val="231F20"/>
          <w:spacing w:val="-7"/>
          <w:sz w:val="14"/>
        </w:rPr>
        <w:t xml:space="preserve"> </w:t>
      </w:r>
      <w:r>
        <w:rPr>
          <w:color w:val="231F20"/>
          <w:sz w:val="14"/>
        </w:rPr>
        <w:t>start</w:t>
      </w:r>
      <w:r>
        <w:rPr>
          <w:color w:val="231F20"/>
          <w:spacing w:val="-7"/>
          <w:sz w:val="14"/>
        </w:rPr>
        <w:t xml:space="preserve"> </w:t>
      </w:r>
      <w:r>
        <w:rPr>
          <w:color w:val="231F20"/>
          <w:sz w:val="14"/>
        </w:rPr>
        <w:t>site.</w:t>
      </w:r>
      <w:r>
        <w:rPr>
          <w:color w:val="231F20"/>
          <w:spacing w:val="-6"/>
          <w:sz w:val="14"/>
        </w:rPr>
        <w:t xml:space="preserve"> </w:t>
      </w:r>
      <w:r>
        <w:rPr>
          <w:i/>
          <w:color w:val="231F20"/>
          <w:sz w:val="14"/>
        </w:rPr>
        <w:t>B,</w:t>
      </w:r>
      <w:r>
        <w:rPr>
          <w:i/>
          <w:color w:val="231F20"/>
          <w:spacing w:val="-7"/>
          <w:sz w:val="14"/>
        </w:rPr>
        <w:t xml:space="preserve"> </w:t>
      </w:r>
      <w:r>
        <w:rPr>
          <w:color w:val="231F20"/>
          <w:sz w:val="14"/>
        </w:rPr>
        <w:t>illustrative</w:t>
      </w:r>
      <w:r>
        <w:rPr>
          <w:color w:val="231F20"/>
          <w:spacing w:val="-7"/>
          <w:sz w:val="14"/>
        </w:rPr>
        <w:t xml:space="preserve"> </w:t>
      </w:r>
      <w:r>
        <w:rPr>
          <w:color w:val="231F20"/>
          <w:sz w:val="14"/>
        </w:rPr>
        <w:t>methylation-specific</w:t>
      </w:r>
      <w:r>
        <w:rPr>
          <w:color w:val="231F20"/>
          <w:spacing w:val="-7"/>
          <w:sz w:val="14"/>
        </w:rPr>
        <w:t xml:space="preserve"> </w:t>
      </w:r>
      <w:r>
        <w:rPr>
          <w:color w:val="231F20"/>
          <w:sz w:val="14"/>
        </w:rPr>
        <w:t>PCR</w:t>
      </w:r>
      <w:r>
        <w:rPr>
          <w:color w:val="231F20"/>
          <w:spacing w:val="-7"/>
          <w:sz w:val="14"/>
        </w:rPr>
        <w:t xml:space="preserve"> </w:t>
      </w:r>
      <w:r>
        <w:rPr>
          <w:color w:val="231F20"/>
          <w:sz w:val="14"/>
        </w:rPr>
        <w:t>analyses</w:t>
      </w:r>
      <w:r>
        <w:rPr>
          <w:color w:val="231F20"/>
          <w:spacing w:val="-7"/>
          <w:sz w:val="14"/>
        </w:rPr>
        <w:t xml:space="preserve"> </w:t>
      </w:r>
      <w:r>
        <w:rPr>
          <w:color w:val="231F20"/>
          <w:sz w:val="14"/>
        </w:rPr>
        <w:t>for</w:t>
      </w:r>
      <w:r>
        <w:rPr>
          <w:color w:val="231F20"/>
          <w:spacing w:val="40"/>
          <w:w w:val="105"/>
          <w:sz w:val="14"/>
        </w:rPr>
        <w:t xml:space="preserve"> </w:t>
      </w:r>
      <w:r>
        <w:rPr>
          <w:color w:val="231F20"/>
          <w:w w:val="105"/>
          <w:sz w:val="14"/>
        </w:rPr>
        <w:t xml:space="preserve">the CpG island methylation status of the </w:t>
      </w:r>
      <w:r>
        <w:rPr>
          <w:i/>
          <w:color w:val="231F20"/>
          <w:w w:val="105"/>
          <w:sz w:val="14"/>
        </w:rPr>
        <w:t xml:space="preserve">E-cadherin, MLH1, </w:t>
      </w:r>
      <w:r>
        <w:rPr>
          <w:color w:val="231F20"/>
          <w:w w:val="105"/>
          <w:sz w:val="14"/>
        </w:rPr>
        <w:t xml:space="preserve">and </w:t>
      </w:r>
      <w:r>
        <w:rPr>
          <w:i/>
          <w:color w:val="231F20"/>
          <w:w w:val="105"/>
          <w:sz w:val="14"/>
        </w:rPr>
        <w:t xml:space="preserve">MGMT </w:t>
      </w:r>
      <w:r>
        <w:rPr>
          <w:color w:val="231F20"/>
          <w:w w:val="105"/>
          <w:sz w:val="14"/>
        </w:rPr>
        <w:t>genes. The</w:t>
      </w:r>
      <w:r>
        <w:rPr>
          <w:color w:val="231F20"/>
          <w:spacing w:val="40"/>
          <w:w w:val="105"/>
          <w:sz w:val="14"/>
        </w:rPr>
        <w:t xml:space="preserve"> </w:t>
      </w:r>
      <w:r>
        <w:rPr>
          <w:color w:val="231F20"/>
          <w:w w:val="105"/>
          <w:sz w:val="14"/>
        </w:rPr>
        <w:t xml:space="preserve">presence of a PCR band under the </w:t>
      </w:r>
      <w:r>
        <w:rPr>
          <w:i/>
          <w:color w:val="231F20"/>
          <w:w w:val="105"/>
          <w:sz w:val="14"/>
        </w:rPr>
        <w:t xml:space="preserve">U </w:t>
      </w:r>
      <w:r>
        <w:rPr>
          <w:color w:val="231F20"/>
          <w:w w:val="105"/>
          <w:sz w:val="14"/>
        </w:rPr>
        <w:t xml:space="preserve">or </w:t>
      </w:r>
      <w:r>
        <w:rPr>
          <w:i/>
          <w:color w:val="231F20"/>
          <w:w w:val="105"/>
          <w:sz w:val="14"/>
        </w:rPr>
        <w:t xml:space="preserve">M </w:t>
      </w:r>
      <w:r>
        <w:rPr>
          <w:color w:val="231F20"/>
          <w:w w:val="105"/>
          <w:sz w:val="14"/>
        </w:rPr>
        <w:t>lane indicates unmethylated or methylated</w:t>
      </w:r>
      <w:r>
        <w:rPr>
          <w:color w:val="231F20"/>
          <w:spacing w:val="40"/>
          <w:w w:val="105"/>
          <w:sz w:val="14"/>
        </w:rPr>
        <w:t xml:space="preserve"> </w:t>
      </w:r>
      <w:r>
        <w:rPr>
          <w:color w:val="231F20"/>
          <w:sz w:val="14"/>
        </w:rPr>
        <w:t xml:space="preserve">alleles, respectively. </w:t>
      </w:r>
      <w:r>
        <w:rPr>
          <w:i/>
          <w:color w:val="231F20"/>
          <w:sz w:val="14"/>
        </w:rPr>
        <w:t xml:space="preserve">In vitro </w:t>
      </w:r>
      <w:r>
        <w:rPr>
          <w:color w:val="231F20"/>
          <w:sz w:val="14"/>
        </w:rPr>
        <w:t>methylated DNA (</w:t>
      </w:r>
      <w:r>
        <w:rPr>
          <w:i/>
          <w:color w:val="231F20"/>
          <w:sz w:val="14"/>
        </w:rPr>
        <w:t>IVD</w:t>
      </w:r>
      <w:r>
        <w:rPr>
          <w:color w:val="231F20"/>
          <w:sz w:val="14"/>
        </w:rPr>
        <w:t>), used as positive methylated control</w:t>
      </w:r>
      <w:r>
        <w:rPr>
          <w:color w:val="231F20"/>
          <w:spacing w:val="40"/>
          <w:w w:val="105"/>
          <w:sz w:val="14"/>
        </w:rPr>
        <w:t xml:space="preserve"> </w:t>
      </w:r>
      <w:r>
        <w:rPr>
          <w:color w:val="231F20"/>
          <w:w w:val="105"/>
          <w:sz w:val="14"/>
        </w:rPr>
        <w:t>and normal skin (</w:t>
      </w:r>
      <w:r>
        <w:rPr>
          <w:i/>
          <w:color w:val="231F20"/>
          <w:w w:val="105"/>
          <w:sz w:val="14"/>
        </w:rPr>
        <w:t>NS</w:t>
      </w:r>
      <w:r>
        <w:rPr>
          <w:color w:val="231F20"/>
          <w:w w:val="105"/>
          <w:sz w:val="14"/>
        </w:rPr>
        <w:t xml:space="preserve">), used as unmethylated control. </w:t>
      </w:r>
      <w:r>
        <w:rPr>
          <w:i/>
          <w:color w:val="231F20"/>
          <w:w w:val="105"/>
          <w:sz w:val="14"/>
        </w:rPr>
        <w:t xml:space="preserve">C, </w:t>
      </w:r>
      <w:r>
        <w:rPr>
          <w:color w:val="231F20"/>
          <w:w w:val="105"/>
          <w:sz w:val="14"/>
        </w:rPr>
        <w:t>examples of the reverse tran-</w:t>
      </w:r>
      <w:r>
        <w:rPr>
          <w:color w:val="231F20"/>
          <w:spacing w:val="40"/>
          <w:w w:val="105"/>
          <w:sz w:val="14"/>
        </w:rPr>
        <w:t xml:space="preserve"> </w:t>
      </w:r>
      <w:r>
        <w:rPr>
          <w:color w:val="231F20"/>
          <w:sz w:val="14"/>
        </w:rPr>
        <w:t>scription-PCR analysis for basal gene expression and reactivation after treatment with a</w:t>
      </w:r>
      <w:r>
        <w:rPr>
          <w:color w:val="231F20"/>
          <w:spacing w:val="40"/>
          <w:sz w:val="14"/>
        </w:rPr>
        <w:t xml:space="preserve"> </w:t>
      </w:r>
      <w:r>
        <w:rPr>
          <w:color w:val="231F20"/>
          <w:sz w:val="14"/>
        </w:rPr>
        <w:t xml:space="preserve">demethylating agent. Restoration of </w:t>
      </w:r>
      <w:r>
        <w:rPr>
          <w:i/>
          <w:color w:val="231F20"/>
          <w:sz w:val="14"/>
        </w:rPr>
        <w:t xml:space="preserve">E-cadherin </w:t>
      </w:r>
      <w:r>
        <w:rPr>
          <w:color w:val="231F20"/>
          <w:sz w:val="14"/>
        </w:rPr>
        <w:t xml:space="preserve">and </w:t>
      </w:r>
      <w:r>
        <w:rPr>
          <w:i/>
          <w:color w:val="231F20"/>
          <w:sz w:val="14"/>
        </w:rPr>
        <w:t xml:space="preserve">MGMT </w:t>
      </w:r>
      <w:r>
        <w:rPr>
          <w:color w:val="231F20"/>
          <w:sz w:val="14"/>
        </w:rPr>
        <w:t>gene expression is observed</w:t>
      </w:r>
      <w:r>
        <w:rPr>
          <w:color w:val="231F20"/>
          <w:spacing w:val="40"/>
          <w:w w:val="105"/>
          <w:sz w:val="14"/>
        </w:rPr>
        <w:t xml:space="preserve"> </w:t>
      </w:r>
      <w:r>
        <w:rPr>
          <w:color w:val="231F20"/>
          <w:w w:val="105"/>
          <w:sz w:val="14"/>
        </w:rPr>
        <w:t>in</w:t>
      </w:r>
      <w:r>
        <w:rPr>
          <w:color w:val="231F20"/>
          <w:spacing w:val="-10"/>
          <w:w w:val="105"/>
          <w:sz w:val="14"/>
        </w:rPr>
        <w:t xml:space="preserve"> </w:t>
      </w:r>
      <w:r>
        <w:rPr>
          <w:color w:val="231F20"/>
          <w:w w:val="105"/>
          <w:sz w:val="14"/>
        </w:rPr>
        <w:t>the</w:t>
      </w:r>
      <w:r>
        <w:rPr>
          <w:color w:val="231F20"/>
          <w:spacing w:val="-9"/>
          <w:w w:val="105"/>
          <w:sz w:val="14"/>
        </w:rPr>
        <w:t xml:space="preserve"> </w:t>
      </w:r>
      <w:r>
        <w:rPr>
          <w:color w:val="231F20"/>
          <w:w w:val="105"/>
          <w:sz w:val="14"/>
        </w:rPr>
        <w:t>hypermethylated</w:t>
      </w:r>
      <w:r>
        <w:rPr>
          <w:color w:val="231F20"/>
          <w:spacing w:val="-9"/>
          <w:w w:val="105"/>
          <w:sz w:val="14"/>
        </w:rPr>
        <w:t xml:space="preserve"> </w:t>
      </w:r>
      <w:r>
        <w:rPr>
          <w:color w:val="231F20"/>
          <w:w w:val="105"/>
          <w:sz w:val="14"/>
        </w:rPr>
        <w:t>cell</w:t>
      </w:r>
      <w:r>
        <w:rPr>
          <w:color w:val="231F20"/>
          <w:spacing w:val="-9"/>
          <w:w w:val="105"/>
          <w:sz w:val="14"/>
        </w:rPr>
        <w:t xml:space="preserve"> </w:t>
      </w:r>
      <w:r>
        <w:rPr>
          <w:color w:val="231F20"/>
          <w:w w:val="105"/>
          <w:sz w:val="14"/>
        </w:rPr>
        <w:t>lines</w:t>
      </w:r>
      <w:r>
        <w:rPr>
          <w:color w:val="231F20"/>
          <w:spacing w:val="-9"/>
          <w:w w:val="105"/>
          <w:sz w:val="14"/>
        </w:rPr>
        <w:t xml:space="preserve"> </w:t>
      </w:r>
      <w:r>
        <w:rPr>
          <w:color w:val="231F20"/>
          <w:w w:val="105"/>
          <w:sz w:val="14"/>
        </w:rPr>
        <w:t>CarB</w:t>
      </w:r>
      <w:r>
        <w:rPr>
          <w:color w:val="231F20"/>
          <w:spacing w:val="-10"/>
          <w:w w:val="105"/>
          <w:sz w:val="14"/>
        </w:rPr>
        <w:t xml:space="preserve"> </w:t>
      </w:r>
      <w:r>
        <w:rPr>
          <w:color w:val="231F20"/>
          <w:w w:val="105"/>
          <w:sz w:val="14"/>
        </w:rPr>
        <w:t>and</w:t>
      </w:r>
      <w:r>
        <w:rPr>
          <w:color w:val="231F20"/>
          <w:spacing w:val="-9"/>
          <w:w w:val="105"/>
          <w:sz w:val="14"/>
        </w:rPr>
        <w:t xml:space="preserve"> </w:t>
      </w:r>
      <w:r>
        <w:rPr>
          <w:color w:val="231F20"/>
          <w:w w:val="105"/>
          <w:sz w:val="14"/>
        </w:rPr>
        <w:t>CarC</w:t>
      </w:r>
      <w:r>
        <w:rPr>
          <w:color w:val="231F20"/>
          <w:spacing w:val="-9"/>
          <w:w w:val="105"/>
          <w:sz w:val="14"/>
        </w:rPr>
        <w:t xml:space="preserve"> </w:t>
      </w:r>
      <w:r>
        <w:rPr>
          <w:color w:val="231F20"/>
          <w:w w:val="105"/>
          <w:sz w:val="14"/>
        </w:rPr>
        <w:t>after</w:t>
      </w:r>
      <w:r>
        <w:rPr>
          <w:color w:val="231F20"/>
          <w:spacing w:val="-9"/>
          <w:w w:val="105"/>
          <w:sz w:val="14"/>
        </w:rPr>
        <w:t xml:space="preserve"> </w:t>
      </w:r>
      <w:r>
        <w:rPr>
          <w:color w:val="231F20"/>
          <w:w w:val="105"/>
          <w:sz w:val="14"/>
        </w:rPr>
        <w:t>treatment</w:t>
      </w:r>
      <w:r>
        <w:rPr>
          <w:color w:val="231F20"/>
          <w:spacing w:val="-9"/>
          <w:w w:val="105"/>
          <w:sz w:val="14"/>
        </w:rPr>
        <w:t xml:space="preserve"> </w:t>
      </w:r>
      <w:r>
        <w:rPr>
          <w:color w:val="231F20"/>
          <w:w w:val="105"/>
          <w:sz w:val="14"/>
        </w:rPr>
        <w:t>with</w:t>
      </w:r>
      <w:r>
        <w:rPr>
          <w:color w:val="231F20"/>
          <w:spacing w:val="-10"/>
          <w:w w:val="105"/>
          <w:sz w:val="14"/>
        </w:rPr>
        <w:t xml:space="preserve"> </w:t>
      </w:r>
      <w:r>
        <w:rPr>
          <w:color w:val="231F20"/>
          <w:w w:val="105"/>
          <w:sz w:val="14"/>
        </w:rPr>
        <w:t>5-aza-2-deoxycy-</w:t>
      </w:r>
      <w:r>
        <w:rPr>
          <w:color w:val="231F20"/>
          <w:spacing w:val="40"/>
          <w:w w:val="105"/>
          <w:sz w:val="14"/>
        </w:rPr>
        <w:t xml:space="preserve"> </w:t>
      </w:r>
      <w:r>
        <w:rPr>
          <w:color w:val="231F20"/>
          <w:w w:val="105"/>
          <w:sz w:val="14"/>
        </w:rPr>
        <w:t xml:space="preserve">tidine. </w:t>
      </w:r>
      <w:r>
        <w:rPr>
          <w:rFonts w:ascii="Verdana" w:hAnsi="Verdana"/>
          <w:color w:val="231F20"/>
          <w:w w:val="105"/>
          <w:sz w:val="14"/>
        </w:rPr>
        <w:t>β</w:t>
      </w:r>
      <w:r>
        <w:rPr>
          <w:i/>
          <w:color w:val="231F20"/>
          <w:w w:val="105"/>
          <w:sz w:val="14"/>
        </w:rPr>
        <w:t xml:space="preserve">-Actin </w:t>
      </w:r>
      <w:r>
        <w:rPr>
          <w:color w:val="231F20"/>
          <w:w w:val="105"/>
          <w:sz w:val="14"/>
        </w:rPr>
        <w:t>expression is shown as an internal control.</w:t>
      </w:r>
    </w:p>
    <w:p w14:paraId="4DF45A84" w14:textId="77777777" w:rsidR="00B322A0" w:rsidRDefault="00B322A0">
      <w:pPr>
        <w:pStyle w:val="Textoindependiente"/>
        <w:ind w:left="0"/>
        <w:rPr>
          <w:sz w:val="14"/>
        </w:rPr>
      </w:pPr>
    </w:p>
    <w:p w14:paraId="32416208" w14:textId="77777777" w:rsidR="00B322A0" w:rsidRDefault="00B322A0">
      <w:pPr>
        <w:pStyle w:val="Textoindependiente"/>
        <w:spacing w:before="20"/>
        <w:ind w:left="0"/>
        <w:rPr>
          <w:sz w:val="14"/>
        </w:rPr>
      </w:pPr>
    </w:p>
    <w:p w14:paraId="115A8BD9" w14:textId="77777777" w:rsidR="00B322A0" w:rsidRDefault="00000000">
      <w:pPr>
        <w:pStyle w:val="Textoindependiente"/>
        <w:spacing w:before="1" w:line="254" w:lineRule="auto"/>
        <w:ind w:left="98" w:right="38"/>
        <w:jc w:val="right"/>
      </w:pPr>
      <w:r>
        <w:rPr>
          <w:color w:val="231F20"/>
        </w:rPr>
        <w:t>was</w:t>
      </w:r>
      <w:r>
        <w:rPr>
          <w:color w:val="231F20"/>
          <w:spacing w:val="23"/>
        </w:rPr>
        <w:t xml:space="preserve"> </w:t>
      </w:r>
      <w:r>
        <w:rPr>
          <w:color w:val="231F20"/>
        </w:rPr>
        <w:t>always</w:t>
      </w:r>
      <w:r>
        <w:rPr>
          <w:color w:val="231F20"/>
          <w:spacing w:val="23"/>
        </w:rPr>
        <w:t xml:space="preserve"> </w:t>
      </w:r>
      <w:r>
        <w:rPr>
          <w:color w:val="231F20"/>
        </w:rPr>
        <w:t>associated</w:t>
      </w:r>
      <w:r>
        <w:rPr>
          <w:color w:val="231F20"/>
          <w:spacing w:val="23"/>
        </w:rPr>
        <w:t xml:space="preserve"> </w:t>
      </w:r>
      <w:r>
        <w:rPr>
          <w:color w:val="231F20"/>
        </w:rPr>
        <w:t>with</w:t>
      </w:r>
      <w:r>
        <w:rPr>
          <w:color w:val="231F20"/>
          <w:spacing w:val="23"/>
        </w:rPr>
        <w:t xml:space="preserve"> </w:t>
      </w:r>
      <w:r>
        <w:rPr>
          <w:color w:val="231F20"/>
        </w:rPr>
        <w:t>gene</w:t>
      </w:r>
      <w:r>
        <w:rPr>
          <w:color w:val="231F20"/>
          <w:spacing w:val="23"/>
        </w:rPr>
        <w:t xml:space="preserve"> </w:t>
      </w:r>
      <w:r>
        <w:rPr>
          <w:color w:val="231F20"/>
        </w:rPr>
        <w:t>silencing,</w:t>
      </w:r>
      <w:r>
        <w:rPr>
          <w:color w:val="231F20"/>
          <w:spacing w:val="23"/>
        </w:rPr>
        <w:t xml:space="preserve"> </w:t>
      </w:r>
      <w:r>
        <w:rPr>
          <w:color w:val="231F20"/>
        </w:rPr>
        <w:t>and</w:t>
      </w:r>
      <w:r>
        <w:rPr>
          <w:color w:val="231F20"/>
          <w:spacing w:val="23"/>
        </w:rPr>
        <w:t xml:space="preserve"> </w:t>
      </w:r>
      <w:r>
        <w:rPr>
          <w:color w:val="231F20"/>
        </w:rPr>
        <w:t>expression</w:t>
      </w:r>
      <w:r>
        <w:rPr>
          <w:color w:val="231F20"/>
          <w:spacing w:val="23"/>
        </w:rPr>
        <w:t xml:space="preserve"> </w:t>
      </w:r>
      <w:r>
        <w:rPr>
          <w:color w:val="231F20"/>
        </w:rPr>
        <w:t>was</w:t>
      </w:r>
      <w:r>
        <w:rPr>
          <w:color w:val="231F20"/>
          <w:spacing w:val="23"/>
        </w:rPr>
        <w:t xml:space="preserve"> </w:t>
      </w:r>
      <w:r>
        <w:rPr>
          <w:color w:val="231F20"/>
        </w:rPr>
        <w:t xml:space="preserve">re- stored with 5-aza-2-deoxycytidine treatment as described previously. </w:t>
      </w:r>
      <w:r>
        <w:rPr>
          <w:b/>
          <w:color w:val="231F20"/>
        </w:rPr>
        <w:t>Histone</w:t>
      </w:r>
      <w:r>
        <w:rPr>
          <w:b/>
          <w:color w:val="231F20"/>
          <w:spacing w:val="40"/>
        </w:rPr>
        <w:t xml:space="preserve"> </w:t>
      </w:r>
      <w:r>
        <w:rPr>
          <w:b/>
          <w:color w:val="231F20"/>
        </w:rPr>
        <w:t>Modifications</w:t>
      </w:r>
      <w:r>
        <w:rPr>
          <w:b/>
          <w:color w:val="231F20"/>
          <w:spacing w:val="40"/>
        </w:rPr>
        <w:t xml:space="preserve"> </w:t>
      </w:r>
      <w:r>
        <w:rPr>
          <w:b/>
          <w:color w:val="231F20"/>
        </w:rPr>
        <w:t>and</w:t>
      </w:r>
      <w:r>
        <w:rPr>
          <w:b/>
          <w:color w:val="231F20"/>
          <w:spacing w:val="40"/>
        </w:rPr>
        <w:t xml:space="preserve"> </w:t>
      </w:r>
      <w:r>
        <w:rPr>
          <w:b/>
          <w:color w:val="231F20"/>
        </w:rPr>
        <w:t>Expression</w:t>
      </w:r>
      <w:r>
        <w:rPr>
          <w:b/>
          <w:color w:val="231F20"/>
          <w:spacing w:val="40"/>
        </w:rPr>
        <w:t xml:space="preserve"> </w:t>
      </w:r>
      <w:r>
        <w:rPr>
          <w:b/>
          <w:color w:val="231F20"/>
        </w:rPr>
        <w:t>of</w:t>
      </w:r>
      <w:r>
        <w:rPr>
          <w:b/>
          <w:color w:val="231F20"/>
          <w:spacing w:val="40"/>
        </w:rPr>
        <w:t xml:space="preserve"> </w:t>
      </w:r>
      <w:r>
        <w:rPr>
          <w:b/>
          <w:color w:val="231F20"/>
        </w:rPr>
        <w:t>DNA</w:t>
      </w:r>
      <w:r>
        <w:rPr>
          <w:b/>
          <w:color w:val="231F20"/>
          <w:spacing w:val="40"/>
        </w:rPr>
        <w:t xml:space="preserve"> </w:t>
      </w:r>
      <w:r>
        <w:rPr>
          <w:b/>
          <w:color w:val="231F20"/>
        </w:rPr>
        <w:t>Methyltrans- ferases</w:t>
      </w:r>
      <w:r>
        <w:rPr>
          <w:b/>
          <w:color w:val="231F20"/>
          <w:spacing w:val="40"/>
        </w:rPr>
        <w:t xml:space="preserve"> </w:t>
      </w:r>
      <w:r>
        <w:rPr>
          <w:b/>
          <w:color w:val="231F20"/>
        </w:rPr>
        <w:t>in</w:t>
      </w:r>
      <w:r>
        <w:rPr>
          <w:b/>
          <w:color w:val="231F20"/>
          <w:spacing w:val="40"/>
        </w:rPr>
        <w:t xml:space="preserve"> </w:t>
      </w:r>
      <w:r>
        <w:rPr>
          <w:b/>
          <w:color w:val="231F20"/>
        </w:rPr>
        <w:t>the</w:t>
      </w:r>
      <w:r>
        <w:rPr>
          <w:b/>
          <w:color w:val="231F20"/>
          <w:spacing w:val="40"/>
        </w:rPr>
        <w:t xml:space="preserve"> </w:t>
      </w:r>
      <w:r>
        <w:rPr>
          <w:b/>
          <w:color w:val="231F20"/>
        </w:rPr>
        <w:t>Mouse</w:t>
      </w:r>
      <w:r>
        <w:rPr>
          <w:b/>
          <w:color w:val="231F20"/>
          <w:spacing w:val="40"/>
        </w:rPr>
        <w:t xml:space="preserve"> </w:t>
      </w:r>
      <w:r>
        <w:rPr>
          <w:b/>
          <w:color w:val="231F20"/>
        </w:rPr>
        <w:t>Skin</w:t>
      </w:r>
      <w:r>
        <w:rPr>
          <w:b/>
          <w:color w:val="231F20"/>
          <w:spacing w:val="40"/>
        </w:rPr>
        <w:t xml:space="preserve"> </w:t>
      </w:r>
      <w:r>
        <w:rPr>
          <w:b/>
          <w:color w:val="231F20"/>
        </w:rPr>
        <w:t>Cancer</w:t>
      </w:r>
      <w:r>
        <w:rPr>
          <w:b/>
          <w:color w:val="231F20"/>
          <w:spacing w:val="40"/>
        </w:rPr>
        <w:t xml:space="preserve"> </w:t>
      </w:r>
      <w:r>
        <w:rPr>
          <w:b/>
          <w:color w:val="231F20"/>
        </w:rPr>
        <w:t>Model.</w:t>
      </w:r>
      <w:r>
        <w:rPr>
          <w:b/>
          <w:color w:val="231F20"/>
          <w:spacing w:val="30"/>
        </w:rPr>
        <w:t xml:space="preserve"> </w:t>
      </w:r>
      <w:r>
        <w:rPr>
          <w:color w:val="231F20"/>
        </w:rPr>
        <w:t>Modifications</w:t>
      </w:r>
      <w:r>
        <w:rPr>
          <w:color w:val="231F20"/>
          <w:spacing w:val="40"/>
        </w:rPr>
        <w:t xml:space="preserve"> </w:t>
      </w:r>
      <w:r>
        <w:rPr>
          <w:color w:val="231F20"/>
        </w:rPr>
        <w:t>in</w:t>
      </w:r>
      <w:r>
        <w:rPr>
          <w:color w:val="231F20"/>
          <w:spacing w:val="40"/>
        </w:rPr>
        <w:t xml:space="preserve"> </w:t>
      </w:r>
      <w:r>
        <w:rPr>
          <w:color w:val="231F20"/>
        </w:rPr>
        <w:t>the histone tails (acetylation and methylation among others), the denom- inated</w:t>
      </w:r>
      <w:r>
        <w:rPr>
          <w:color w:val="231F20"/>
          <w:spacing w:val="-5"/>
        </w:rPr>
        <w:t xml:space="preserve"> </w:t>
      </w:r>
      <w:r>
        <w:rPr>
          <w:color w:val="231F20"/>
        </w:rPr>
        <w:t>histone</w:t>
      </w:r>
      <w:r>
        <w:rPr>
          <w:color w:val="231F20"/>
          <w:spacing w:val="-5"/>
        </w:rPr>
        <w:t xml:space="preserve"> </w:t>
      </w:r>
      <w:r>
        <w:rPr>
          <w:color w:val="231F20"/>
        </w:rPr>
        <w:t>code,</w:t>
      </w:r>
      <w:r>
        <w:rPr>
          <w:color w:val="231F20"/>
          <w:spacing w:val="-5"/>
        </w:rPr>
        <w:t xml:space="preserve"> </w:t>
      </w:r>
      <w:r>
        <w:rPr>
          <w:color w:val="231F20"/>
        </w:rPr>
        <w:t>are</w:t>
      </w:r>
      <w:r>
        <w:rPr>
          <w:color w:val="231F20"/>
          <w:spacing w:val="-5"/>
        </w:rPr>
        <w:t xml:space="preserve"> </w:t>
      </w:r>
      <w:r>
        <w:rPr>
          <w:color w:val="231F20"/>
        </w:rPr>
        <w:t>key</w:t>
      </w:r>
      <w:r>
        <w:rPr>
          <w:color w:val="231F20"/>
          <w:spacing w:val="-5"/>
        </w:rPr>
        <w:t xml:space="preserve"> </w:t>
      </w:r>
      <w:r>
        <w:rPr>
          <w:color w:val="231F20"/>
        </w:rPr>
        <w:t>in</w:t>
      </w:r>
      <w:r>
        <w:rPr>
          <w:color w:val="231F20"/>
          <w:spacing w:val="-5"/>
        </w:rPr>
        <w:t xml:space="preserve"> </w:t>
      </w:r>
      <w:r>
        <w:rPr>
          <w:color w:val="231F20"/>
        </w:rPr>
        <w:t>determining</w:t>
      </w:r>
      <w:r>
        <w:rPr>
          <w:color w:val="231F20"/>
          <w:spacing w:val="-5"/>
        </w:rPr>
        <w:t xml:space="preserve"> </w:t>
      </w:r>
      <w:r>
        <w:rPr>
          <w:color w:val="231F20"/>
        </w:rPr>
        <w:t>the</w:t>
      </w:r>
      <w:r>
        <w:rPr>
          <w:color w:val="231F20"/>
          <w:spacing w:val="-5"/>
        </w:rPr>
        <w:t xml:space="preserve"> </w:t>
      </w:r>
      <w:r>
        <w:rPr>
          <w:color w:val="231F20"/>
        </w:rPr>
        <w:t>active</w:t>
      </w:r>
      <w:r>
        <w:rPr>
          <w:color w:val="231F20"/>
          <w:spacing w:val="-5"/>
        </w:rPr>
        <w:t xml:space="preserve"> </w:t>
      </w:r>
      <w:r>
        <w:rPr>
          <w:color w:val="231F20"/>
        </w:rPr>
        <w:t>or</w:t>
      </w:r>
      <w:r>
        <w:rPr>
          <w:color w:val="231F20"/>
          <w:spacing w:val="-5"/>
        </w:rPr>
        <w:t xml:space="preserve"> </w:t>
      </w:r>
      <w:r>
        <w:rPr>
          <w:color w:val="231F20"/>
        </w:rPr>
        <w:t>silenced</w:t>
      </w:r>
      <w:r>
        <w:rPr>
          <w:color w:val="231F20"/>
          <w:spacing w:val="-5"/>
        </w:rPr>
        <w:t xml:space="preserve"> </w:t>
      </w:r>
      <w:r>
        <w:rPr>
          <w:color w:val="231F20"/>
        </w:rPr>
        <w:t>state of any given gene (25). To assess the histone modification status of the methylated and unmethylated genes analyzed in the mouse skin carcinogenesis model, we performed chromatin immunoprecipitation analysis</w:t>
      </w:r>
      <w:r>
        <w:rPr>
          <w:color w:val="231F20"/>
          <w:spacing w:val="40"/>
        </w:rPr>
        <w:t xml:space="preserve"> </w:t>
      </w:r>
      <w:r>
        <w:rPr>
          <w:color w:val="231F20"/>
        </w:rPr>
        <w:t>with</w:t>
      </w:r>
      <w:r>
        <w:rPr>
          <w:color w:val="231F20"/>
          <w:spacing w:val="40"/>
        </w:rPr>
        <w:t xml:space="preserve"> </w:t>
      </w:r>
      <w:r>
        <w:rPr>
          <w:color w:val="231F20"/>
        </w:rPr>
        <w:t>antibodies</w:t>
      </w:r>
      <w:r>
        <w:rPr>
          <w:color w:val="231F20"/>
          <w:spacing w:val="40"/>
        </w:rPr>
        <w:t xml:space="preserve"> </w:t>
      </w:r>
      <w:r>
        <w:rPr>
          <w:color w:val="231F20"/>
        </w:rPr>
        <w:t>raised</w:t>
      </w:r>
      <w:r>
        <w:rPr>
          <w:color w:val="231F20"/>
          <w:spacing w:val="40"/>
        </w:rPr>
        <w:t xml:space="preserve"> </w:t>
      </w:r>
      <w:r>
        <w:rPr>
          <w:color w:val="231F20"/>
        </w:rPr>
        <w:t>against</w:t>
      </w:r>
      <w:r>
        <w:rPr>
          <w:color w:val="231F20"/>
          <w:spacing w:val="40"/>
        </w:rPr>
        <w:t xml:space="preserve"> </w:t>
      </w:r>
      <w:r>
        <w:rPr>
          <w:color w:val="231F20"/>
        </w:rPr>
        <w:t>acetylated</w:t>
      </w:r>
      <w:r>
        <w:rPr>
          <w:color w:val="231F20"/>
          <w:spacing w:val="40"/>
        </w:rPr>
        <w:t xml:space="preserve"> </w:t>
      </w:r>
      <w:r>
        <w:rPr>
          <w:color w:val="231F20"/>
        </w:rPr>
        <w:t>histone</w:t>
      </w:r>
      <w:r>
        <w:rPr>
          <w:color w:val="231F20"/>
          <w:spacing w:val="40"/>
        </w:rPr>
        <w:t xml:space="preserve"> </w:t>
      </w:r>
      <w:r>
        <w:rPr>
          <w:color w:val="231F20"/>
        </w:rPr>
        <w:t>H4</w:t>
      </w:r>
      <w:r>
        <w:rPr>
          <w:color w:val="231F20"/>
          <w:spacing w:val="40"/>
        </w:rPr>
        <w:t xml:space="preserve"> </w:t>
      </w:r>
      <w:r>
        <w:rPr>
          <w:color w:val="231F20"/>
        </w:rPr>
        <w:t>and dimethylated</w:t>
      </w:r>
      <w:r>
        <w:rPr>
          <w:color w:val="231F20"/>
          <w:spacing w:val="8"/>
        </w:rPr>
        <w:t xml:space="preserve"> </w:t>
      </w:r>
      <w:r>
        <w:rPr>
          <w:color w:val="231F20"/>
        </w:rPr>
        <w:t>lysine</w:t>
      </w:r>
      <w:r>
        <w:rPr>
          <w:color w:val="231F20"/>
          <w:spacing w:val="8"/>
        </w:rPr>
        <w:t xml:space="preserve"> </w:t>
      </w:r>
      <w:r>
        <w:rPr>
          <w:color w:val="231F20"/>
        </w:rPr>
        <w:t>4</w:t>
      </w:r>
      <w:r>
        <w:rPr>
          <w:color w:val="231F20"/>
          <w:spacing w:val="8"/>
        </w:rPr>
        <w:t xml:space="preserve"> </w:t>
      </w:r>
      <w:r>
        <w:rPr>
          <w:color w:val="231F20"/>
        </w:rPr>
        <w:t>histone</w:t>
      </w:r>
      <w:r>
        <w:rPr>
          <w:color w:val="231F20"/>
          <w:spacing w:val="8"/>
        </w:rPr>
        <w:t xml:space="preserve"> </w:t>
      </w:r>
      <w:r>
        <w:rPr>
          <w:color w:val="231F20"/>
        </w:rPr>
        <w:t>H3,</w:t>
      </w:r>
      <w:r>
        <w:rPr>
          <w:color w:val="231F20"/>
          <w:spacing w:val="8"/>
        </w:rPr>
        <w:t xml:space="preserve"> </w:t>
      </w:r>
      <w:r>
        <w:rPr>
          <w:color w:val="231F20"/>
        </w:rPr>
        <w:t>both</w:t>
      </w:r>
      <w:r>
        <w:rPr>
          <w:color w:val="231F20"/>
          <w:spacing w:val="8"/>
        </w:rPr>
        <w:t xml:space="preserve"> </w:t>
      </w:r>
      <w:r>
        <w:rPr>
          <w:color w:val="231F20"/>
        </w:rPr>
        <w:t>modifications</w:t>
      </w:r>
      <w:r>
        <w:rPr>
          <w:color w:val="231F20"/>
          <w:spacing w:val="8"/>
        </w:rPr>
        <w:t xml:space="preserve"> </w:t>
      </w:r>
      <w:r>
        <w:rPr>
          <w:color w:val="231F20"/>
        </w:rPr>
        <w:t>associated</w:t>
      </w:r>
      <w:r>
        <w:rPr>
          <w:color w:val="231F20"/>
          <w:spacing w:val="8"/>
        </w:rPr>
        <w:t xml:space="preserve"> </w:t>
      </w:r>
      <w:r>
        <w:rPr>
          <w:color w:val="231F20"/>
          <w:spacing w:val="-4"/>
        </w:rPr>
        <w:t>with</w:t>
      </w:r>
    </w:p>
    <w:p w14:paraId="59B3CD7C" w14:textId="77777777" w:rsidR="00B322A0" w:rsidRDefault="00000000">
      <w:pPr>
        <w:pStyle w:val="Textoindependiente"/>
        <w:spacing w:before="6"/>
        <w:jc w:val="both"/>
      </w:pPr>
      <w:r>
        <w:rPr>
          <w:color w:val="231F20"/>
        </w:rPr>
        <w:t>transcriptional</w:t>
      </w:r>
      <w:r>
        <w:rPr>
          <w:color w:val="231F20"/>
          <w:spacing w:val="14"/>
        </w:rPr>
        <w:t xml:space="preserve"> </w:t>
      </w:r>
      <w:r>
        <w:rPr>
          <w:color w:val="231F20"/>
          <w:spacing w:val="-2"/>
        </w:rPr>
        <w:t>activation.</w:t>
      </w:r>
    </w:p>
    <w:p w14:paraId="61DEFD17" w14:textId="77777777" w:rsidR="00B322A0" w:rsidRDefault="00000000">
      <w:pPr>
        <w:pStyle w:val="Textoindependiente"/>
        <w:spacing w:before="13" w:line="254" w:lineRule="auto"/>
        <w:ind w:right="38" w:firstLine="180"/>
        <w:jc w:val="both"/>
      </w:pPr>
      <w:r>
        <w:rPr>
          <w:color w:val="231F20"/>
        </w:rPr>
        <w:t>We</w:t>
      </w:r>
      <w:r>
        <w:rPr>
          <w:color w:val="231F20"/>
          <w:spacing w:val="-3"/>
        </w:rPr>
        <w:t xml:space="preserve"> </w:t>
      </w:r>
      <w:r>
        <w:rPr>
          <w:color w:val="231F20"/>
        </w:rPr>
        <w:t>observed</w:t>
      </w:r>
      <w:r>
        <w:rPr>
          <w:color w:val="231F20"/>
          <w:spacing w:val="-3"/>
        </w:rPr>
        <w:t xml:space="preserve"> </w:t>
      </w:r>
      <w:r>
        <w:rPr>
          <w:color w:val="231F20"/>
        </w:rPr>
        <w:t>a</w:t>
      </w:r>
      <w:r>
        <w:rPr>
          <w:color w:val="231F20"/>
          <w:spacing w:val="-3"/>
        </w:rPr>
        <w:t xml:space="preserve"> </w:t>
      </w:r>
      <w:r>
        <w:rPr>
          <w:color w:val="231F20"/>
        </w:rPr>
        <w:t>loss</w:t>
      </w:r>
      <w:r>
        <w:rPr>
          <w:color w:val="231F20"/>
          <w:spacing w:val="-3"/>
        </w:rPr>
        <w:t xml:space="preserve"> </w:t>
      </w:r>
      <w:r>
        <w:rPr>
          <w:color w:val="231F20"/>
        </w:rPr>
        <w:t>of</w:t>
      </w:r>
      <w:r>
        <w:rPr>
          <w:color w:val="231F20"/>
          <w:spacing w:val="-3"/>
        </w:rPr>
        <w:t xml:space="preserve"> </w:t>
      </w:r>
      <w:r>
        <w:rPr>
          <w:color w:val="231F20"/>
        </w:rPr>
        <w:t>both</w:t>
      </w:r>
      <w:r>
        <w:rPr>
          <w:color w:val="231F20"/>
          <w:spacing w:val="-3"/>
        </w:rPr>
        <w:t xml:space="preserve"> </w:t>
      </w:r>
      <w:r>
        <w:rPr>
          <w:color w:val="231F20"/>
        </w:rPr>
        <w:t>acetylated</w:t>
      </w:r>
      <w:r>
        <w:rPr>
          <w:color w:val="231F20"/>
          <w:spacing w:val="-3"/>
        </w:rPr>
        <w:t xml:space="preserve"> </w:t>
      </w:r>
      <w:r>
        <w:rPr>
          <w:color w:val="231F20"/>
        </w:rPr>
        <w:t>histone</w:t>
      </w:r>
      <w:r>
        <w:rPr>
          <w:color w:val="231F20"/>
          <w:spacing w:val="-3"/>
        </w:rPr>
        <w:t xml:space="preserve"> </w:t>
      </w:r>
      <w:r>
        <w:rPr>
          <w:color w:val="231F20"/>
        </w:rPr>
        <w:t>H4</w:t>
      </w:r>
      <w:r>
        <w:rPr>
          <w:color w:val="231F20"/>
          <w:spacing w:val="-3"/>
        </w:rPr>
        <w:t xml:space="preserve"> </w:t>
      </w:r>
      <w:r>
        <w:rPr>
          <w:color w:val="231F20"/>
        </w:rPr>
        <w:t>and</w:t>
      </w:r>
      <w:r>
        <w:rPr>
          <w:color w:val="231F20"/>
          <w:spacing w:val="-3"/>
        </w:rPr>
        <w:t xml:space="preserve"> </w:t>
      </w:r>
      <w:r>
        <w:rPr>
          <w:color w:val="231F20"/>
        </w:rPr>
        <w:t xml:space="preserve">dimethylated lysine 4 histone H3 within all of the hypermethylated CpG island promoters, whereas for both, modifications showed a significant en- richment in unmethylated CpG islands. For instance, the </w:t>
      </w:r>
      <w:r>
        <w:rPr>
          <w:i/>
          <w:color w:val="231F20"/>
        </w:rPr>
        <w:t xml:space="preserve">MLH1 </w:t>
      </w:r>
      <w:r>
        <w:rPr>
          <w:color w:val="231F20"/>
        </w:rPr>
        <w:t>pro- moter,</w:t>
      </w:r>
      <w:r>
        <w:rPr>
          <w:color w:val="231F20"/>
          <w:spacing w:val="-7"/>
        </w:rPr>
        <w:t xml:space="preserve"> </w:t>
      </w:r>
      <w:r>
        <w:rPr>
          <w:color w:val="231F20"/>
        </w:rPr>
        <w:t>which</w:t>
      </w:r>
      <w:r>
        <w:rPr>
          <w:color w:val="231F20"/>
          <w:spacing w:val="-7"/>
        </w:rPr>
        <w:t xml:space="preserve"> </w:t>
      </w:r>
      <w:r>
        <w:rPr>
          <w:color w:val="231F20"/>
        </w:rPr>
        <w:t>is</w:t>
      </w:r>
      <w:r>
        <w:rPr>
          <w:color w:val="231F20"/>
          <w:spacing w:val="-7"/>
        </w:rPr>
        <w:t xml:space="preserve"> </w:t>
      </w:r>
      <w:r>
        <w:rPr>
          <w:color w:val="231F20"/>
        </w:rPr>
        <w:t>unmethylated</w:t>
      </w:r>
      <w:r>
        <w:rPr>
          <w:color w:val="231F20"/>
          <w:spacing w:val="-7"/>
        </w:rPr>
        <w:t xml:space="preserve"> </w:t>
      </w:r>
      <w:r>
        <w:rPr>
          <w:color w:val="231F20"/>
        </w:rPr>
        <w:t>and</w:t>
      </w:r>
      <w:r>
        <w:rPr>
          <w:color w:val="231F20"/>
          <w:spacing w:val="-7"/>
        </w:rPr>
        <w:t xml:space="preserve"> </w:t>
      </w:r>
      <w:r>
        <w:rPr>
          <w:color w:val="231F20"/>
        </w:rPr>
        <w:t>actively</w:t>
      </w:r>
      <w:r>
        <w:rPr>
          <w:color w:val="231F20"/>
          <w:spacing w:val="-7"/>
        </w:rPr>
        <w:t xml:space="preserve"> </w:t>
      </w:r>
      <w:r>
        <w:rPr>
          <w:color w:val="231F20"/>
        </w:rPr>
        <w:t>transcribed</w:t>
      </w:r>
      <w:r>
        <w:rPr>
          <w:color w:val="231F20"/>
          <w:spacing w:val="-7"/>
        </w:rPr>
        <w:t xml:space="preserve"> </w:t>
      </w:r>
      <w:r>
        <w:rPr>
          <w:color w:val="231F20"/>
        </w:rPr>
        <w:t>in</w:t>
      </w:r>
      <w:r>
        <w:rPr>
          <w:color w:val="231F20"/>
          <w:spacing w:val="-7"/>
        </w:rPr>
        <w:t xml:space="preserve"> </w:t>
      </w:r>
      <w:r>
        <w:rPr>
          <w:color w:val="231F20"/>
        </w:rPr>
        <w:t>all</w:t>
      </w:r>
      <w:r>
        <w:rPr>
          <w:color w:val="231F20"/>
          <w:spacing w:val="-7"/>
        </w:rPr>
        <w:t xml:space="preserve"> </w:t>
      </w:r>
      <w:r>
        <w:rPr>
          <w:color w:val="231F20"/>
        </w:rPr>
        <w:t>of</w:t>
      </w:r>
      <w:r>
        <w:rPr>
          <w:color w:val="231F20"/>
          <w:spacing w:val="-7"/>
        </w:rPr>
        <w:t xml:space="preserve"> </w:t>
      </w:r>
      <w:r>
        <w:rPr>
          <w:color w:val="231F20"/>
        </w:rPr>
        <w:t>the</w:t>
      </w:r>
      <w:r>
        <w:rPr>
          <w:color w:val="231F20"/>
          <w:spacing w:val="-7"/>
        </w:rPr>
        <w:t xml:space="preserve"> </w:t>
      </w:r>
      <w:r>
        <w:rPr>
          <w:color w:val="231F20"/>
        </w:rPr>
        <w:t>cell lines,</w:t>
      </w:r>
      <w:r>
        <w:rPr>
          <w:color w:val="231F20"/>
          <w:spacing w:val="-4"/>
        </w:rPr>
        <w:t xml:space="preserve"> </w:t>
      </w:r>
      <w:r>
        <w:rPr>
          <w:color w:val="231F20"/>
        </w:rPr>
        <w:t>was</w:t>
      </w:r>
      <w:r>
        <w:rPr>
          <w:color w:val="231F20"/>
          <w:spacing w:val="-4"/>
        </w:rPr>
        <w:t xml:space="preserve"> </w:t>
      </w:r>
      <w:r>
        <w:rPr>
          <w:color w:val="231F20"/>
        </w:rPr>
        <w:t>found</w:t>
      </w:r>
      <w:r>
        <w:rPr>
          <w:color w:val="231F20"/>
          <w:spacing w:val="-4"/>
        </w:rPr>
        <w:t xml:space="preserve"> </w:t>
      </w:r>
      <w:r>
        <w:rPr>
          <w:color w:val="231F20"/>
        </w:rPr>
        <w:t>to</w:t>
      </w:r>
      <w:r>
        <w:rPr>
          <w:color w:val="231F20"/>
          <w:spacing w:val="-4"/>
        </w:rPr>
        <w:t xml:space="preserve"> </w:t>
      </w:r>
      <w:r>
        <w:rPr>
          <w:color w:val="231F20"/>
        </w:rPr>
        <w:t>be</w:t>
      </w:r>
      <w:r>
        <w:rPr>
          <w:color w:val="231F20"/>
          <w:spacing w:val="-4"/>
        </w:rPr>
        <w:t xml:space="preserve"> </w:t>
      </w:r>
      <w:r>
        <w:rPr>
          <w:color w:val="231F20"/>
        </w:rPr>
        <w:t>associated</w:t>
      </w:r>
      <w:r>
        <w:rPr>
          <w:color w:val="231F20"/>
          <w:spacing w:val="-4"/>
        </w:rPr>
        <w:t xml:space="preserve"> </w:t>
      </w:r>
      <w:r>
        <w:rPr>
          <w:color w:val="231F20"/>
        </w:rPr>
        <w:t>with</w:t>
      </w:r>
      <w:r>
        <w:rPr>
          <w:color w:val="231F20"/>
          <w:spacing w:val="-4"/>
        </w:rPr>
        <w:t xml:space="preserve"> </w:t>
      </w:r>
      <w:r>
        <w:rPr>
          <w:color w:val="231F20"/>
        </w:rPr>
        <w:t>high</w:t>
      </w:r>
      <w:r>
        <w:rPr>
          <w:color w:val="231F20"/>
          <w:spacing w:val="-4"/>
        </w:rPr>
        <w:t xml:space="preserve"> </w:t>
      </w:r>
      <w:r>
        <w:rPr>
          <w:color w:val="231F20"/>
        </w:rPr>
        <w:t>amounts</w:t>
      </w:r>
      <w:r>
        <w:rPr>
          <w:color w:val="231F20"/>
          <w:spacing w:val="-4"/>
        </w:rPr>
        <w:t xml:space="preserve"> </w:t>
      </w:r>
      <w:r>
        <w:rPr>
          <w:color w:val="231F20"/>
        </w:rPr>
        <w:t>of</w:t>
      </w:r>
      <w:r>
        <w:rPr>
          <w:color w:val="231F20"/>
          <w:spacing w:val="-4"/>
        </w:rPr>
        <w:t xml:space="preserve"> </w:t>
      </w:r>
      <w:r>
        <w:rPr>
          <w:color w:val="231F20"/>
        </w:rPr>
        <w:t>both</w:t>
      </w:r>
      <w:r>
        <w:rPr>
          <w:color w:val="231F20"/>
          <w:spacing w:val="-4"/>
        </w:rPr>
        <w:t xml:space="preserve"> </w:t>
      </w:r>
      <w:r>
        <w:rPr>
          <w:color w:val="231F20"/>
          <w:spacing w:val="-2"/>
        </w:rPr>
        <w:t>acetylated</w:t>
      </w:r>
    </w:p>
    <w:p w14:paraId="42A03C8A" w14:textId="77777777" w:rsidR="00B322A0" w:rsidRDefault="00000000">
      <w:pPr>
        <w:pStyle w:val="Textoindependiente"/>
        <w:spacing w:before="186" w:line="254" w:lineRule="auto"/>
        <w:ind w:right="113"/>
        <w:jc w:val="both"/>
      </w:pPr>
      <w:r>
        <w:br w:type="column"/>
      </w:r>
      <w:r>
        <w:rPr>
          <w:color w:val="231F20"/>
        </w:rPr>
        <w:t>histone H4 and dimethylated lysine 4 histone H3 (Fig. 3</w:t>
      </w:r>
      <w:r>
        <w:rPr>
          <w:i/>
          <w:color w:val="231F20"/>
        </w:rPr>
        <w:t>A</w:t>
      </w:r>
      <w:r>
        <w:rPr>
          <w:color w:val="231F20"/>
        </w:rPr>
        <w:t>). The scenario</w:t>
      </w:r>
      <w:r>
        <w:rPr>
          <w:color w:val="231F20"/>
          <w:spacing w:val="-9"/>
        </w:rPr>
        <w:t xml:space="preserve"> </w:t>
      </w:r>
      <w:r>
        <w:rPr>
          <w:color w:val="231F20"/>
        </w:rPr>
        <w:t>for</w:t>
      </w:r>
      <w:r>
        <w:rPr>
          <w:color w:val="231F20"/>
          <w:spacing w:val="-9"/>
        </w:rPr>
        <w:t xml:space="preserve"> </w:t>
      </w:r>
      <w:r>
        <w:rPr>
          <w:i/>
          <w:color w:val="231F20"/>
        </w:rPr>
        <w:t>E-cadherin</w:t>
      </w:r>
      <w:r>
        <w:rPr>
          <w:i/>
          <w:color w:val="231F20"/>
          <w:spacing w:val="-9"/>
        </w:rPr>
        <w:t xml:space="preserve"> </w:t>
      </w:r>
      <w:r>
        <w:rPr>
          <w:color w:val="231F20"/>
        </w:rPr>
        <w:t>and</w:t>
      </w:r>
      <w:r>
        <w:rPr>
          <w:color w:val="231F20"/>
          <w:spacing w:val="-9"/>
        </w:rPr>
        <w:t xml:space="preserve"> </w:t>
      </w:r>
      <w:r>
        <w:rPr>
          <w:i/>
          <w:color w:val="231F20"/>
        </w:rPr>
        <w:t>Snail,</w:t>
      </w:r>
      <w:r>
        <w:rPr>
          <w:i/>
          <w:color w:val="231F20"/>
          <w:spacing w:val="-9"/>
        </w:rPr>
        <w:t xml:space="preserve"> </w:t>
      </w:r>
      <w:r>
        <w:rPr>
          <w:color w:val="231F20"/>
        </w:rPr>
        <w:t>however,</w:t>
      </w:r>
      <w:r>
        <w:rPr>
          <w:color w:val="231F20"/>
          <w:spacing w:val="-9"/>
        </w:rPr>
        <w:t xml:space="preserve"> </w:t>
      </w:r>
      <w:r>
        <w:rPr>
          <w:color w:val="231F20"/>
        </w:rPr>
        <w:t>was</w:t>
      </w:r>
      <w:r>
        <w:rPr>
          <w:color w:val="231F20"/>
          <w:spacing w:val="-9"/>
        </w:rPr>
        <w:t xml:space="preserve"> </w:t>
      </w:r>
      <w:r>
        <w:rPr>
          <w:color w:val="231F20"/>
        </w:rPr>
        <w:t>more</w:t>
      </w:r>
      <w:r>
        <w:rPr>
          <w:color w:val="231F20"/>
          <w:spacing w:val="-9"/>
        </w:rPr>
        <w:t xml:space="preserve"> </w:t>
      </w:r>
      <w:r>
        <w:rPr>
          <w:color w:val="231F20"/>
        </w:rPr>
        <w:t>dynamic:</w:t>
      </w:r>
      <w:r>
        <w:rPr>
          <w:color w:val="231F20"/>
          <w:spacing w:val="-9"/>
        </w:rPr>
        <w:t xml:space="preserve"> </w:t>
      </w:r>
      <w:r>
        <w:rPr>
          <w:color w:val="231F20"/>
        </w:rPr>
        <w:t>in</w:t>
      </w:r>
      <w:r>
        <w:rPr>
          <w:color w:val="231F20"/>
          <w:spacing w:val="-9"/>
        </w:rPr>
        <w:t xml:space="preserve"> </w:t>
      </w:r>
      <w:r>
        <w:rPr>
          <w:color w:val="231F20"/>
        </w:rPr>
        <w:t xml:space="preserve">the PAM212 cell line an unmethylated CpG island for </w:t>
      </w:r>
      <w:r>
        <w:rPr>
          <w:i/>
          <w:color w:val="231F20"/>
        </w:rPr>
        <w:t xml:space="preserve">E-cadherin </w:t>
      </w:r>
      <w:r>
        <w:rPr>
          <w:color w:val="231F20"/>
        </w:rPr>
        <w:t>was associated with enhanced amounts of acetylated histone H4 and dimethylated lysine 4 histone H3 and active transcription, whereas in CarB and CarC cells a fall of both histone modifications was associ- ated with CpG island hypermethylation and silencing (Fig. 3</w:t>
      </w:r>
      <w:r>
        <w:rPr>
          <w:i/>
          <w:color w:val="231F20"/>
        </w:rPr>
        <w:t>A</w:t>
      </w:r>
      <w:r>
        <w:rPr>
          <w:color w:val="231F20"/>
        </w:rPr>
        <w:t xml:space="preserve">). For </w:t>
      </w:r>
      <w:r>
        <w:rPr>
          <w:i/>
          <w:color w:val="231F20"/>
        </w:rPr>
        <w:t xml:space="preserve">Snail </w:t>
      </w:r>
      <w:r>
        <w:rPr>
          <w:color w:val="231F20"/>
        </w:rPr>
        <w:t>the converse pattern was observed: methylation of the island, loss of acetylated histone H4 and dimethylated lysine 4 histone H3 and silencing in PAM212, and an unmethylated CpG island with increased</w:t>
      </w:r>
      <w:r>
        <w:rPr>
          <w:color w:val="231F20"/>
          <w:spacing w:val="-2"/>
        </w:rPr>
        <w:t xml:space="preserve"> </w:t>
      </w:r>
      <w:r>
        <w:rPr>
          <w:color w:val="231F20"/>
        </w:rPr>
        <w:t>acetylated</w:t>
      </w:r>
      <w:r>
        <w:rPr>
          <w:color w:val="231F20"/>
          <w:spacing w:val="-2"/>
        </w:rPr>
        <w:t xml:space="preserve"> </w:t>
      </w:r>
      <w:r>
        <w:rPr>
          <w:color w:val="231F20"/>
        </w:rPr>
        <w:t>histone</w:t>
      </w:r>
      <w:r>
        <w:rPr>
          <w:color w:val="231F20"/>
          <w:spacing w:val="-2"/>
        </w:rPr>
        <w:t xml:space="preserve"> </w:t>
      </w:r>
      <w:r>
        <w:rPr>
          <w:color w:val="231F20"/>
        </w:rPr>
        <w:t>H4</w:t>
      </w:r>
      <w:r>
        <w:rPr>
          <w:color w:val="231F20"/>
          <w:spacing w:val="-2"/>
        </w:rPr>
        <w:t xml:space="preserve"> </w:t>
      </w:r>
      <w:r>
        <w:rPr>
          <w:color w:val="231F20"/>
        </w:rPr>
        <w:t>and</w:t>
      </w:r>
      <w:r>
        <w:rPr>
          <w:color w:val="231F20"/>
          <w:spacing w:val="-2"/>
        </w:rPr>
        <w:t xml:space="preserve"> </w:t>
      </w:r>
      <w:r>
        <w:rPr>
          <w:color w:val="231F20"/>
        </w:rPr>
        <w:t>dimethylated</w:t>
      </w:r>
      <w:r>
        <w:rPr>
          <w:color w:val="231F20"/>
          <w:spacing w:val="-2"/>
        </w:rPr>
        <w:t xml:space="preserve"> </w:t>
      </w:r>
      <w:r>
        <w:rPr>
          <w:color w:val="231F20"/>
        </w:rPr>
        <w:t>lysine</w:t>
      </w:r>
      <w:r>
        <w:rPr>
          <w:color w:val="231F20"/>
          <w:spacing w:val="-2"/>
        </w:rPr>
        <w:t xml:space="preserve"> </w:t>
      </w:r>
      <w:r>
        <w:rPr>
          <w:color w:val="231F20"/>
        </w:rPr>
        <w:t>4</w:t>
      </w:r>
      <w:r>
        <w:rPr>
          <w:color w:val="231F20"/>
          <w:spacing w:val="-2"/>
        </w:rPr>
        <w:t xml:space="preserve"> </w:t>
      </w:r>
      <w:r>
        <w:rPr>
          <w:color w:val="231F20"/>
        </w:rPr>
        <w:t>histone</w:t>
      </w:r>
      <w:r>
        <w:rPr>
          <w:color w:val="231F20"/>
          <w:spacing w:val="-2"/>
        </w:rPr>
        <w:t xml:space="preserve"> </w:t>
      </w:r>
      <w:r>
        <w:rPr>
          <w:color w:val="231F20"/>
        </w:rPr>
        <w:t>H3 and active transcription in CarB and CarC cells.</w:t>
      </w:r>
    </w:p>
    <w:p w14:paraId="183F442A" w14:textId="77777777" w:rsidR="00B322A0" w:rsidRDefault="00000000">
      <w:pPr>
        <w:pStyle w:val="Textoindependiente"/>
        <w:spacing w:before="7" w:line="254" w:lineRule="auto"/>
        <w:ind w:right="110" w:firstLine="180"/>
        <w:jc w:val="both"/>
      </w:pPr>
      <w:r>
        <w:rPr>
          <w:color w:val="231F20"/>
        </w:rPr>
        <w:t>We</w:t>
      </w:r>
      <w:r>
        <w:rPr>
          <w:color w:val="231F20"/>
          <w:spacing w:val="40"/>
        </w:rPr>
        <w:t xml:space="preserve"> </w:t>
      </w:r>
      <w:r>
        <w:rPr>
          <w:color w:val="231F20"/>
        </w:rPr>
        <w:t>then</w:t>
      </w:r>
      <w:r>
        <w:rPr>
          <w:color w:val="231F20"/>
          <w:spacing w:val="40"/>
        </w:rPr>
        <w:t xml:space="preserve"> </w:t>
      </w:r>
      <w:r>
        <w:rPr>
          <w:color w:val="231F20"/>
        </w:rPr>
        <w:t>sought</w:t>
      </w:r>
      <w:r>
        <w:rPr>
          <w:color w:val="231F20"/>
          <w:spacing w:val="40"/>
        </w:rPr>
        <w:t xml:space="preserve"> </w:t>
      </w:r>
      <w:r>
        <w:rPr>
          <w:color w:val="231F20"/>
        </w:rPr>
        <w:t>to</w:t>
      </w:r>
      <w:r>
        <w:rPr>
          <w:color w:val="231F20"/>
          <w:spacing w:val="40"/>
        </w:rPr>
        <w:t xml:space="preserve"> </w:t>
      </w:r>
      <w:r>
        <w:rPr>
          <w:color w:val="231F20"/>
        </w:rPr>
        <w:t>determine</w:t>
      </w:r>
      <w:r>
        <w:rPr>
          <w:color w:val="231F20"/>
          <w:spacing w:val="40"/>
        </w:rPr>
        <w:t xml:space="preserve"> </w:t>
      </w:r>
      <w:r>
        <w:rPr>
          <w:color w:val="231F20"/>
        </w:rPr>
        <w:t>the</w:t>
      </w:r>
      <w:r>
        <w:rPr>
          <w:color w:val="231F20"/>
          <w:spacing w:val="40"/>
        </w:rPr>
        <w:t xml:space="preserve"> </w:t>
      </w:r>
      <w:r>
        <w:rPr>
          <w:color w:val="231F20"/>
        </w:rPr>
        <w:t>pattern</w:t>
      </w:r>
      <w:r>
        <w:rPr>
          <w:color w:val="231F20"/>
          <w:spacing w:val="40"/>
        </w:rPr>
        <w:t xml:space="preserve"> </w:t>
      </w:r>
      <w:r>
        <w:rPr>
          <w:color w:val="231F20"/>
        </w:rPr>
        <w:t>of</w:t>
      </w:r>
      <w:r>
        <w:rPr>
          <w:color w:val="231F20"/>
          <w:spacing w:val="40"/>
        </w:rPr>
        <w:t xml:space="preserve"> </w:t>
      </w:r>
      <w:r>
        <w:rPr>
          <w:color w:val="231F20"/>
        </w:rPr>
        <w:t>expression</w:t>
      </w:r>
      <w:r>
        <w:rPr>
          <w:color w:val="231F20"/>
          <w:spacing w:val="40"/>
        </w:rPr>
        <w:t xml:space="preserve"> </w:t>
      </w:r>
      <w:r>
        <w:rPr>
          <w:color w:val="231F20"/>
        </w:rPr>
        <w:t>of</w:t>
      </w:r>
      <w:r>
        <w:rPr>
          <w:color w:val="231F20"/>
          <w:spacing w:val="40"/>
        </w:rPr>
        <w:t xml:space="preserve"> </w:t>
      </w:r>
      <w:r>
        <w:rPr>
          <w:color w:val="231F20"/>
        </w:rPr>
        <w:t>the DNA methyltransferases (Fig. 3</w:t>
      </w:r>
      <w:r>
        <w:rPr>
          <w:i/>
          <w:color w:val="231F20"/>
        </w:rPr>
        <w:t>B</w:t>
      </w:r>
      <w:r>
        <w:rPr>
          <w:color w:val="231F20"/>
        </w:rPr>
        <w:t>) throughout the progression</w:t>
      </w:r>
      <w:r>
        <w:rPr>
          <w:color w:val="231F20"/>
          <w:spacing w:val="80"/>
          <w:w w:val="150"/>
        </w:rPr>
        <w:t xml:space="preserve"> </w:t>
      </w:r>
      <w:r>
        <w:rPr>
          <w:color w:val="231F20"/>
        </w:rPr>
        <w:t>model. The expression of DNA methyltransferase 1 and DNA methyltransferase 3b was studied by Western blot using nuclear extracts obtained from cells across the spectrum of different mouse skin carcinogenesis stages. We found elevated levels of both DNA methyltransferases from early to late stages of tumorigenesis. For example,</w:t>
      </w:r>
      <w:r>
        <w:rPr>
          <w:color w:val="231F20"/>
          <w:spacing w:val="21"/>
        </w:rPr>
        <w:t xml:space="preserve"> </w:t>
      </w:r>
      <w:r>
        <w:rPr>
          <w:color w:val="231F20"/>
        </w:rPr>
        <w:t>the</w:t>
      </w:r>
      <w:r>
        <w:rPr>
          <w:color w:val="231F20"/>
          <w:spacing w:val="21"/>
        </w:rPr>
        <w:t xml:space="preserve"> </w:t>
      </w:r>
      <w:r>
        <w:rPr>
          <w:color w:val="231F20"/>
        </w:rPr>
        <w:t>highly</w:t>
      </w:r>
      <w:r>
        <w:rPr>
          <w:color w:val="231F20"/>
          <w:spacing w:val="21"/>
        </w:rPr>
        <w:t xml:space="preserve"> </w:t>
      </w:r>
      <w:r>
        <w:rPr>
          <w:color w:val="231F20"/>
        </w:rPr>
        <w:t>metastatic</w:t>
      </w:r>
      <w:r>
        <w:rPr>
          <w:color w:val="231F20"/>
          <w:spacing w:val="21"/>
        </w:rPr>
        <w:t xml:space="preserve"> </w:t>
      </w:r>
      <w:r>
        <w:rPr>
          <w:color w:val="231F20"/>
        </w:rPr>
        <w:t>cell</w:t>
      </w:r>
      <w:r>
        <w:rPr>
          <w:color w:val="231F20"/>
          <w:spacing w:val="21"/>
        </w:rPr>
        <w:t xml:space="preserve"> </w:t>
      </w:r>
      <w:r>
        <w:rPr>
          <w:color w:val="231F20"/>
        </w:rPr>
        <w:t>line</w:t>
      </w:r>
      <w:r>
        <w:rPr>
          <w:color w:val="231F20"/>
          <w:spacing w:val="21"/>
        </w:rPr>
        <w:t xml:space="preserve"> </w:t>
      </w:r>
      <w:r>
        <w:rPr>
          <w:color w:val="231F20"/>
        </w:rPr>
        <w:t>CarC</w:t>
      </w:r>
      <w:r>
        <w:rPr>
          <w:color w:val="231F20"/>
          <w:spacing w:val="21"/>
        </w:rPr>
        <w:t xml:space="preserve"> </w:t>
      </w:r>
      <w:r>
        <w:rPr>
          <w:color w:val="231F20"/>
        </w:rPr>
        <w:t>had</w:t>
      </w:r>
      <w:r>
        <w:rPr>
          <w:color w:val="231F20"/>
          <w:spacing w:val="21"/>
        </w:rPr>
        <w:t xml:space="preserve"> </w:t>
      </w:r>
      <w:r>
        <w:rPr>
          <w:color w:val="231F20"/>
        </w:rPr>
        <w:t>a</w:t>
      </w:r>
      <w:r>
        <w:rPr>
          <w:color w:val="231F20"/>
          <w:spacing w:val="21"/>
        </w:rPr>
        <w:t xml:space="preserve"> </w:t>
      </w:r>
      <w:r>
        <w:rPr>
          <w:color w:val="231F20"/>
        </w:rPr>
        <w:t>4-fold</w:t>
      </w:r>
      <w:r>
        <w:rPr>
          <w:color w:val="231F20"/>
          <w:spacing w:val="21"/>
        </w:rPr>
        <w:t xml:space="preserve"> </w:t>
      </w:r>
      <w:r>
        <w:rPr>
          <w:color w:val="231F20"/>
        </w:rPr>
        <w:t>increase in DNA methyltransferase 1 and DNA methyltransferase 3b com- pared with just the immortalized MDA3D cells, whereas interme- diate</w:t>
      </w:r>
      <w:r>
        <w:rPr>
          <w:color w:val="231F20"/>
          <w:spacing w:val="40"/>
        </w:rPr>
        <w:t xml:space="preserve"> </w:t>
      </w:r>
      <w:r>
        <w:rPr>
          <w:color w:val="231F20"/>
        </w:rPr>
        <w:t>stages</w:t>
      </w:r>
      <w:r>
        <w:rPr>
          <w:color w:val="231F20"/>
          <w:spacing w:val="40"/>
        </w:rPr>
        <w:t xml:space="preserve"> </w:t>
      </w:r>
      <w:r>
        <w:rPr>
          <w:color w:val="231F20"/>
        </w:rPr>
        <w:t>(such</w:t>
      </w:r>
      <w:r>
        <w:rPr>
          <w:color w:val="231F20"/>
          <w:spacing w:val="40"/>
        </w:rPr>
        <w:t xml:space="preserve"> </w:t>
      </w:r>
      <w:r>
        <w:rPr>
          <w:color w:val="231F20"/>
        </w:rPr>
        <w:t>as</w:t>
      </w:r>
      <w:r>
        <w:rPr>
          <w:color w:val="231F20"/>
          <w:spacing w:val="40"/>
        </w:rPr>
        <w:t xml:space="preserve"> </w:t>
      </w:r>
      <w:r>
        <w:rPr>
          <w:color w:val="231F20"/>
        </w:rPr>
        <w:t>PAM212</w:t>
      </w:r>
      <w:r>
        <w:rPr>
          <w:color w:val="231F20"/>
          <w:spacing w:val="40"/>
        </w:rPr>
        <w:t xml:space="preserve"> </w:t>
      </w:r>
      <w:r>
        <w:rPr>
          <w:color w:val="231F20"/>
        </w:rPr>
        <w:t>cell</w:t>
      </w:r>
      <w:r>
        <w:rPr>
          <w:color w:val="231F20"/>
          <w:spacing w:val="40"/>
        </w:rPr>
        <w:t xml:space="preserve"> </w:t>
      </w:r>
      <w:r>
        <w:rPr>
          <w:color w:val="231F20"/>
        </w:rPr>
        <w:t>line)</w:t>
      </w:r>
      <w:r>
        <w:rPr>
          <w:color w:val="231F20"/>
          <w:spacing w:val="40"/>
        </w:rPr>
        <w:t xml:space="preserve"> </w:t>
      </w:r>
      <w:r>
        <w:rPr>
          <w:color w:val="231F20"/>
        </w:rPr>
        <w:t>also</w:t>
      </w:r>
      <w:r>
        <w:rPr>
          <w:color w:val="231F20"/>
          <w:spacing w:val="40"/>
        </w:rPr>
        <w:t xml:space="preserve"> </w:t>
      </w:r>
      <w:r>
        <w:rPr>
          <w:color w:val="231F20"/>
        </w:rPr>
        <w:t>had</w:t>
      </w:r>
      <w:r>
        <w:rPr>
          <w:color w:val="231F20"/>
          <w:spacing w:val="40"/>
        </w:rPr>
        <w:t xml:space="preserve"> </w:t>
      </w:r>
      <w:r>
        <w:rPr>
          <w:color w:val="231F20"/>
        </w:rPr>
        <w:t>intermediate levels</w:t>
      </w:r>
      <w:r>
        <w:rPr>
          <w:color w:val="231F20"/>
          <w:spacing w:val="40"/>
        </w:rPr>
        <w:t xml:space="preserve"> </w:t>
      </w:r>
      <w:r>
        <w:rPr>
          <w:color w:val="231F20"/>
        </w:rPr>
        <w:t>of</w:t>
      </w:r>
      <w:r>
        <w:rPr>
          <w:color w:val="231F20"/>
          <w:spacing w:val="40"/>
        </w:rPr>
        <w:t xml:space="preserve"> </w:t>
      </w:r>
      <w:r>
        <w:rPr>
          <w:color w:val="231F20"/>
        </w:rPr>
        <w:t>DNA</w:t>
      </w:r>
      <w:r>
        <w:rPr>
          <w:color w:val="231F20"/>
          <w:spacing w:val="40"/>
        </w:rPr>
        <w:t xml:space="preserve"> </w:t>
      </w:r>
      <w:r>
        <w:rPr>
          <w:color w:val="231F20"/>
        </w:rPr>
        <w:t>methyltransferase</w:t>
      </w:r>
      <w:r>
        <w:rPr>
          <w:color w:val="231F20"/>
          <w:spacing w:val="40"/>
        </w:rPr>
        <w:t xml:space="preserve"> </w:t>
      </w:r>
      <w:r>
        <w:rPr>
          <w:color w:val="231F20"/>
        </w:rPr>
        <w:t>1/3b</w:t>
      </w:r>
      <w:r>
        <w:rPr>
          <w:color w:val="231F20"/>
          <w:spacing w:val="40"/>
        </w:rPr>
        <w:t xml:space="preserve"> </w:t>
      </w:r>
      <w:r>
        <w:rPr>
          <w:color w:val="231F20"/>
        </w:rPr>
        <w:t>protein</w:t>
      </w:r>
      <w:r>
        <w:rPr>
          <w:color w:val="231F20"/>
          <w:spacing w:val="40"/>
        </w:rPr>
        <w:t xml:space="preserve"> </w:t>
      </w:r>
      <w:r>
        <w:rPr>
          <w:color w:val="231F20"/>
        </w:rPr>
        <w:t>(2-fold</w:t>
      </w:r>
      <w:r>
        <w:rPr>
          <w:color w:val="231F20"/>
          <w:spacing w:val="40"/>
        </w:rPr>
        <w:t xml:space="preserve"> </w:t>
      </w:r>
      <w:r>
        <w:rPr>
          <w:color w:val="231F20"/>
        </w:rPr>
        <w:t xml:space="preserve">increase </w:t>
      </w:r>
      <w:r>
        <w:rPr>
          <w:i/>
          <w:color w:val="231F20"/>
        </w:rPr>
        <w:t xml:space="preserve">versus </w:t>
      </w:r>
      <w:r>
        <w:rPr>
          <w:color w:val="231F20"/>
        </w:rPr>
        <w:t>MDA3D; Fig. 3</w:t>
      </w:r>
      <w:r>
        <w:rPr>
          <w:i/>
          <w:color w:val="231F20"/>
        </w:rPr>
        <w:t>B</w:t>
      </w:r>
      <w:r>
        <w:rPr>
          <w:color w:val="231F20"/>
        </w:rPr>
        <w:t>).</w:t>
      </w:r>
    </w:p>
    <w:p w14:paraId="4E26C46B" w14:textId="77777777" w:rsidR="00B322A0" w:rsidRDefault="00B322A0">
      <w:pPr>
        <w:pStyle w:val="Textoindependiente"/>
        <w:ind w:left="0"/>
        <w:rPr>
          <w:sz w:val="20"/>
        </w:rPr>
      </w:pPr>
    </w:p>
    <w:p w14:paraId="404A0973" w14:textId="77777777" w:rsidR="00B322A0" w:rsidRDefault="00000000">
      <w:pPr>
        <w:pStyle w:val="Textoindependiente"/>
        <w:spacing w:before="52"/>
        <w:ind w:left="0"/>
        <w:rPr>
          <w:sz w:val="20"/>
        </w:rPr>
      </w:pPr>
      <w:r>
        <w:rPr>
          <w:noProof/>
        </w:rPr>
        <w:drawing>
          <wp:anchor distT="0" distB="0" distL="0" distR="0" simplePos="0" relativeHeight="487590400" behindDoc="1" locked="0" layoutInCell="1" allowOverlap="1" wp14:anchorId="6AF65B07" wp14:editId="080EFDC7">
            <wp:simplePos x="0" y="0"/>
            <wp:positionH relativeFrom="page">
              <wp:posOffset>3799392</wp:posOffset>
            </wp:positionH>
            <wp:positionV relativeFrom="paragraph">
              <wp:posOffset>194327</wp:posOffset>
            </wp:positionV>
            <wp:extent cx="3197889" cy="3883152"/>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23" cstate="print"/>
                    <a:stretch>
                      <a:fillRect/>
                    </a:stretch>
                  </pic:blipFill>
                  <pic:spPr>
                    <a:xfrm>
                      <a:off x="0" y="0"/>
                      <a:ext cx="3197889" cy="3883152"/>
                    </a:xfrm>
                    <a:prstGeom prst="rect">
                      <a:avLst/>
                    </a:prstGeom>
                  </pic:spPr>
                </pic:pic>
              </a:graphicData>
            </a:graphic>
          </wp:anchor>
        </w:drawing>
      </w:r>
    </w:p>
    <w:p w14:paraId="73594CAD" w14:textId="77777777" w:rsidR="00B322A0" w:rsidRDefault="00000000">
      <w:pPr>
        <w:spacing w:before="95" w:line="237" w:lineRule="auto"/>
        <w:ind w:left="103" w:right="113" w:firstLine="180"/>
        <w:jc w:val="both"/>
        <w:rPr>
          <w:sz w:val="14"/>
        </w:rPr>
      </w:pPr>
      <w:r>
        <w:rPr>
          <w:color w:val="231F20"/>
          <w:sz w:val="14"/>
        </w:rPr>
        <w:t>Fig. 3. Pattern of histone modifications and expression of DNA methyltransferases</w:t>
      </w:r>
      <w:r>
        <w:rPr>
          <w:color w:val="231F20"/>
          <w:spacing w:val="40"/>
          <w:sz w:val="14"/>
        </w:rPr>
        <w:t xml:space="preserve"> </w:t>
      </w:r>
      <w:r>
        <w:rPr>
          <w:color w:val="231F20"/>
          <w:sz w:val="14"/>
        </w:rPr>
        <w:t>(</w:t>
      </w:r>
      <w:r>
        <w:rPr>
          <w:i/>
          <w:color w:val="231F20"/>
          <w:sz w:val="14"/>
        </w:rPr>
        <w:t>DNMT</w:t>
      </w:r>
      <w:r>
        <w:rPr>
          <w:color w:val="231F20"/>
          <w:sz w:val="14"/>
        </w:rPr>
        <w:t xml:space="preserve">) in the mouse skin tumorigenesis model. </w:t>
      </w:r>
      <w:r>
        <w:rPr>
          <w:i/>
          <w:color w:val="231F20"/>
          <w:sz w:val="14"/>
        </w:rPr>
        <w:t xml:space="preserve">A, </w:t>
      </w:r>
      <w:r>
        <w:rPr>
          <w:color w:val="231F20"/>
          <w:sz w:val="14"/>
        </w:rPr>
        <w:t>chromatin immunoprecipitation</w:t>
      </w:r>
      <w:r>
        <w:rPr>
          <w:color w:val="231F20"/>
          <w:spacing w:val="40"/>
          <w:sz w:val="14"/>
        </w:rPr>
        <w:t xml:space="preserve"> </w:t>
      </w:r>
      <w:r>
        <w:rPr>
          <w:color w:val="231F20"/>
          <w:sz w:val="14"/>
        </w:rPr>
        <w:t xml:space="preserve">analysis of the histone modification status of the </w:t>
      </w:r>
      <w:r>
        <w:rPr>
          <w:i/>
          <w:color w:val="231F20"/>
          <w:sz w:val="14"/>
        </w:rPr>
        <w:t xml:space="preserve">MLH1 </w:t>
      </w:r>
      <w:r>
        <w:rPr>
          <w:color w:val="231F20"/>
          <w:sz w:val="14"/>
        </w:rPr>
        <w:t xml:space="preserve">and </w:t>
      </w:r>
      <w:r>
        <w:rPr>
          <w:i/>
          <w:color w:val="231F20"/>
          <w:sz w:val="14"/>
        </w:rPr>
        <w:t xml:space="preserve">E-cadherin </w:t>
      </w:r>
      <w:r>
        <w:rPr>
          <w:color w:val="231F20"/>
          <w:sz w:val="14"/>
        </w:rPr>
        <w:t>promoters. The</w:t>
      </w:r>
      <w:r>
        <w:rPr>
          <w:color w:val="231F20"/>
          <w:spacing w:val="40"/>
          <w:sz w:val="14"/>
        </w:rPr>
        <w:t xml:space="preserve"> </w:t>
      </w:r>
      <w:r>
        <w:rPr>
          <w:color w:val="231F20"/>
          <w:sz w:val="14"/>
        </w:rPr>
        <w:t>unbound (</w:t>
      </w:r>
      <w:r>
        <w:rPr>
          <w:i/>
          <w:color w:val="231F20"/>
          <w:sz w:val="14"/>
        </w:rPr>
        <w:t>UB</w:t>
      </w:r>
      <w:r>
        <w:rPr>
          <w:color w:val="231F20"/>
          <w:sz w:val="14"/>
        </w:rPr>
        <w:t>) and bound (</w:t>
      </w:r>
      <w:r>
        <w:rPr>
          <w:i/>
          <w:color w:val="231F20"/>
          <w:sz w:val="14"/>
        </w:rPr>
        <w:t>B</w:t>
      </w:r>
      <w:r>
        <w:rPr>
          <w:color w:val="231F20"/>
          <w:sz w:val="14"/>
        </w:rPr>
        <w:t>) fractions of each chromatin immunoprecipitation experi-</w:t>
      </w:r>
      <w:r>
        <w:rPr>
          <w:color w:val="231F20"/>
          <w:spacing w:val="40"/>
          <w:sz w:val="14"/>
        </w:rPr>
        <w:t xml:space="preserve"> </w:t>
      </w:r>
      <w:r>
        <w:rPr>
          <w:color w:val="231F20"/>
          <w:sz w:val="14"/>
        </w:rPr>
        <w:t>ment are shown. Each graph shows the B:UB ratio for each studied promoter. In the cell</w:t>
      </w:r>
      <w:r>
        <w:rPr>
          <w:color w:val="231F20"/>
          <w:spacing w:val="40"/>
          <w:sz w:val="14"/>
        </w:rPr>
        <w:t xml:space="preserve"> </w:t>
      </w:r>
      <w:r>
        <w:rPr>
          <w:color w:val="231F20"/>
          <w:sz w:val="14"/>
        </w:rPr>
        <w:t>line PAM212 an unmethylated promoter of E-cadherin is enriched in acetylated histone</w:t>
      </w:r>
      <w:r>
        <w:rPr>
          <w:color w:val="231F20"/>
          <w:spacing w:val="40"/>
          <w:sz w:val="14"/>
        </w:rPr>
        <w:t xml:space="preserve"> </w:t>
      </w:r>
      <w:r>
        <w:rPr>
          <w:color w:val="231F20"/>
          <w:sz w:val="14"/>
        </w:rPr>
        <w:t>H4 and methyl-K4-H3, both markers of active transcription, whereas in the E-cadherin</w:t>
      </w:r>
      <w:r>
        <w:rPr>
          <w:color w:val="231F20"/>
          <w:spacing w:val="40"/>
          <w:sz w:val="14"/>
        </w:rPr>
        <w:t xml:space="preserve"> </w:t>
      </w:r>
      <w:r>
        <w:rPr>
          <w:color w:val="231F20"/>
          <w:sz w:val="14"/>
        </w:rPr>
        <w:t xml:space="preserve">methylated cell lines CarB and CarC both markers are depleted. </w:t>
      </w:r>
      <w:r>
        <w:rPr>
          <w:i/>
          <w:color w:val="231F20"/>
          <w:sz w:val="14"/>
        </w:rPr>
        <w:t xml:space="preserve">B, </w:t>
      </w:r>
      <w:r>
        <w:rPr>
          <w:color w:val="231F20"/>
          <w:sz w:val="14"/>
        </w:rPr>
        <w:t>Western blot analysis</w:t>
      </w:r>
      <w:r>
        <w:rPr>
          <w:color w:val="231F20"/>
          <w:spacing w:val="40"/>
          <w:sz w:val="14"/>
        </w:rPr>
        <w:t xml:space="preserve"> </w:t>
      </w:r>
      <w:r>
        <w:rPr>
          <w:color w:val="231F20"/>
          <w:sz w:val="14"/>
        </w:rPr>
        <w:t>for DNMT1 and DNMT3b expression in MCA3D, PAM212, CarB, and CarC cell lines;</w:t>
      </w:r>
      <w:r>
        <w:rPr>
          <w:color w:val="231F20"/>
          <w:spacing w:val="40"/>
          <w:sz w:val="14"/>
        </w:rPr>
        <w:t xml:space="preserve"> </w:t>
      </w:r>
      <w:r>
        <w:rPr>
          <w:i/>
          <w:color w:val="231F20"/>
          <w:sz w:val="14"/>
        </w:rPr>
        <w:t xml:space="preserve">bars, </w:t>
      </w:r>
      <w:r>
        <w:rPr>
          <w:rFonts w:ascii="Verdana" w:hAnsi="Verdana"/>
          <w:color w:val="231F20"/>
          <w:sz w:val="14"/>
        </w:rPr>
        <w:t>±</w:t>
      </w:r>
      <w:r>
        <w:rPr>
          <w:color w:val="231F20"/>
          <w:sz w:val="14"/>
        </w:rPr>
        <w:t>SD.</w:t>
      </w:r>
    </w:p>
    <w:p w14:paraId="43DF8920" w14:textId="77777777" w:rsidR="00B322A0" w:rsidRDefault="00B322A0">
      <w:pPr>
        <w:spacing w:line="237" w:lineRule="auto"/>
        <w:jc w:val="both"/>
        <w:rPr>
          <w:sz w:val="14"/>
        </w:rPr>
        <w:sectPr w:rsidR="00B322A0" w:rsidSect="00BA4BCE">
          <w:pgSz w:w="11700" w:h="15660"/>
          <w:pgMar w:top="620" w:right="560" w:bottom="900" w:left="600" w:header="428" w:footer="719" w:gutter="0"/>
          <w:cols w:num="2" w:space="720" w:equalWidth="0">
            <w:col w:w="5185" w:space="95"/>
            <w:col w:w="5260"/>
          </w:cols>
        </w:sectPr>
      </w:pPr>
    </w:p>
    <w:p w14:paraId="719C6943" w14:textId="77777777" w:rsidR="00B322A0" w:rsidRDefault="00000000">
      <w:pPr>
        <w:pStyle w:val="Textoindependiente"/>
        <w:spacing w:before="186" w:line="254" w:lineRule="auto"/>
        <w:ind w:right="38" w:firstLine="180"/>
        <w:jc w:val="both"/>
      </w:pPr>
      <w:r>
        <w:rPr>
          <w:color w:val="231F20"/>
        </w:rPr>
        <w:lastRenderedPageBreak/>
        <w:t>Thus, CpG island hypermethylation of tumor suppressor genes is not an isolated phenomenon in the epigenetics of cancer progression, because it occurs in a context of disturbance in the histone and DNA methylation machinery.</w:t>
      </w:r>
    </w:p>
    <w:p w14:paraId="187F2AF9" w14:textId="77777777" w:rsidR="00B322A0" w:rsidRDefault="00000000">
      <w:pPr>
        <w:pStyle w:val="Textoindependiente"/>
        <w:spacing w:before="2" w:line="254" w:lineRule="auto"/>
        <w:ind w:right="38" w:firstLine="180"/>
        <w:jc w:val="both"/>
      </w:pPr>
      <w:r>
        <w:rPr>
          <w:b/>
          <w:color w:val="231F20"/>
        </w:rPr>
        <w:t>Identification of Methyl-Targeted Genes by DNA Demethylat- ing Treatment and Mouse cDNA Microarray Analysis.</w:t>
      </w:r>
      <w:r>
        <w:rPr>
          <w:b/>
          <w:color w:val="231F20"/>
          <w:spacing w:val="28"/>
        </w:rPr>
        <w:t xml:space="preserve"> </w:t>
      </w:r>
      <w:r>
        <w:rPr>
          <w:color w:val="231F20"/>
        </w:rPr>
        <w:t>To obtain a</w:t>
      </w:r>
      <w:r>
        <w:rPr>
          <w:color w:val="231F20"/>
          <w:spacing w:val="-3"/>
        </w:rPr>
        <w:t xml:space="preserve"> </w:t>
      </w:r>
      <w:r>
        <w:rPr>
          <w:color w:val="231F20"/>
        </w:rPr>
        <w:t>global</w:t>
      </w:r>
      <w:r>
        <w:rPr>
          <w:color w:val="231F20"/>
          <w:spacing w:val="-3"/>
        </w:rPr>
        <w:t xml:space="preserve"> </w:t>
      </w:r>
      <w:r>
        <w:rPr>
          <w:color w:val="231F20"/>
        </w:rPr>
        <w:t>view</w:t>
      </w:r>
      <w:r>
        <w:rPr>
          <w:color w:val="231F20"/>
          <w:spacing w:val="-3"/>
        </w:rPr>
        <w:t xml:space="preserve"> </w:t>
      </w:r>
      <w:r>
        <w:rPr>
          <w:color w:val="231F20"/>
        </w:rPr>
        <w:t>of</w:t>
      </w:r>
      <w:r>
        <w:rPr>
          <w:color w:val="231F20"/>
          <w:spacing w:val="-3"/>
        </w:rPr>
        <w:t xml:space="preserve"> </w:t>
      </w:r>
      <w:r>
        <w:rPr>
          <w:color w:val="231F20"/>
        </w:rPr>
        <w:t>the</w:t>
      </w:r>
      <w:r>
        <w:rPr>
          <w:color w:val="231F20"/>
          <w:spacing w:val="-3"/>
        </w:rPr>
        <w:t xml:space="preserve"> </w:t>
      </w:r>
      <w:r>
        <w:rPr>
          <w:color w:val="231F20"/>
        </w:rPr>
        <w:t>number</w:t>
      </w:r>
      <w:r>
        <w:rPr>
          <w:color w:val="231F20"/>
          <w:spacing w:val="-3"/>
        </w:rPr>
        <w:t xml:space="preserve"> </w:t>
      </w:r>
      <w:r>
        <w:rPr>
          <w:color w:val="231F20"/>
        </w:rPr>
        <w:t>of</w:t>
      </w:r>
      <w:r>
        <w:rPr>
          <w:color w:val="231F20"/>
          <w:spacing w:val="-3"/>
        </w:rPr>
        <w:t xml:space="preserve"> </w:t>
      </w:r>
      <w:r>
        <w:rPr>
          <w:color w:val="231F20"/>
        </w:rPr>
        <w:t>genes</w:t>
      </w:r>
      <w:r>
        <w:rPr>
          <w:color w:val="231F20"/>
          <w:spacing w:val="-3"/>
        </w:rPr>
        <w:t xml:space="preserve"> </w:t>
      </w:r>
      <w:r>
        <w:rPr>
          <w:color w:val="231F20"/>
        </w:rPr>
        <w:t>epigenetically</w:t>
      </w:r>
      <w:r>
        <w:rPr>
          <w:color w:val="231F20"/>
          <w:spacing w:val="-3"/>
        </w:rPr>
        <w:t xml:space="preserve"> </w:t>
      </w:r>
      <w:r>
        <w:rPr>
          <w:color w:val="231F20"/>
        </w:rPr>
        <w:t>silenced</w:t>
      </w:r>
      <w:r>
        <w:rPr>
          <w:color w:val="231F20"/>
          <w:spacing w:val="-3"/>
        </w:rPr>
        <w:t xml:space="preserve"> </w:t>
      </w:r>
      <w:r>
        <w:rPr>
          <w:color w:val="231F20"/>
        </w:rPr>
        <w:t xml:space="preserve">through- out the different stages of mouse skin tumorigenesis, we hybridized differentially labeled RNA from each untreated cell line </w:t>
      </w:r>
      <w:r>
        <w:rPr>
          <w:i/>
          <w:color w:val="231F20"/>
        </w:rPr>
        <w:t xml:space="preserve">versus </w:t>
      </w:r>
      <w:r>
        <w:rPr>
          <w:color w:val="231F20"/>
        </w:rPr>
        <w:t>the same cell line after treatment with 5-aza-2-deoxycytidine to a mouse cDNA microarray containing 15,000 clones. The efficiency of the demethylating treatment was measured by the determination of the</w:t>
      </w:r>
      <w:r>
        <w:rPr>
          <w:color w:val="231F20"/>
          <w:spacing w:val="80"/>
          <w:w w:val="150"/>
        </w:rPr>
        <w:t xml:space="preserve"> </w:t>
      </w:r>
      <w:r>
        <w:rPr>
          <w:color w:val="231F20"/>
        </w:rPr>
        <w:t>5-methylcytosine</w:t>
      </w:r>
      <w:r>
        <w:rPr>
          <w:color w:val="231F20"/>
          <w:spacing w:val="-12"/>
        </w:rPr>
        <w:t xml:space="preserve"> </w:t>
      </w:r>
      <w:r>
        <w:rPr>
          <w:color w:val="231F20"/>
        </w:rPr>
        <w:t>content</w:t>
      </w:r>
      <w:r>
        <w:rPr>
          <w:color w:val="231F20"/>
          <w:spacing w:val="-11"/>
        </w:rPr>
        <w:t xml:space="preserve"> </w:t>
      </w:r>
      <w:r>
        <w:rPr>
          <w:color w:val="231F20"/>
        </w:rPr>
        <w:t>by</w:t>
      </w:r>
      <w:r>
        <w:rPr>
          <w:color w:val="231F20"/>
          <w:spacing w:val="-11"/>
        </w:rPr>
        <w:t xml:space="preserve"> </w:t>
      </w:r>
      <w:r>
        <w:rPr>
          <w:color w:val="231F20"/>
        </w:rPr>
        <w:t>high-performance</w:t>
      </w:r>
      <w:r>
        <w:rPr>
          <w:color w:val="231F20"/>
          <w:spacing w:val="-11"/>
        </w:rPr>
        <w:t xml:space="preserve"> </w:t>
      </w:r>
      <w:r>
        <w:rPr>
          <w:color w:val="231F20"/>
        </w:rPr>
        <w:t>capillary</w:t>
      </w:r>
      <w:r>
        <w:rPr>
          <w:color w:val="231F20"/>
          <w:spacing w:val="-12"/>
        </w:rPr>
        <w:t xml:space="preserve"> </w:t>
      </w:r>
      <w:r>
        <w:rPr>
          <w:color w:val="231F20"/>
        </w:rPr>
        <w:t>electrophore- sis (15, 16) and by the reactivation of the methylation-associated genes</w:t>
      </w:r>
      <w:r>
        <w:rPr>
          <w:color w:val="231F20"/>
          <w:spacing w:val="40"/>
        </w:rPr>
        <w:t xml:space="preserve"> </w:t>
      </w:r>
      <w:r>
        <w:rPr>
          <w:color w:val="231F20"/>
        </w:rPr>
        <w:t>as</w:t>
      </w:r>
      <w:r>
        <w:rPr>
          <w:color w:val="231F20"/>
          <w:spacing w:val="40"/>
        </w:rPr>
        <w:t xml:space="preserve"> </w:t>
      </w:r>
      <w:r>
        <w:rPr>
          <w:color w:val="231F20"/>
        </w:rPr>
        <w:t>described</w:t>
      </w:r>
      <w:r>
        <w:rPr>
          <w:color w:val="231F20"/>
          <w:spacing w:val="40"/>
        </w:rPr>
        <w:t xml:space="preserve"> </w:t>
      </w:r>
      <w:r>
        <w:rPr>
          <w:color w:val="231F20"/>
        </w:rPr>
        <w:t>above.</w:t>
      </w:r>
      <w:r>
        <w:rPr>
          <w:color w:val="231F20"/>
          <w:spacing w:val="40"/>
        </w:rPr>
        <w:t xml:space="preserve"> </w:t>
      </w:r>
      <w:r>
        <w:rPr>
          <w:color w:val="231F20"/>
        </w:rPr>
        <w:t>This</w:t>
      </w:r>
      <w:r>
        <w:rPr>
          <w:color w:val="231F20"/>
          <w:spacing w:val="40"/>
        </w:rPr>
        <w:t xml:space="preserve"> </w:t>
      </w:r>
      <w:r>
        <w:rPr>
          <w:color w:val="231F20"/>
        </w:rPr>
        <w:t>is</w:t>
      </w:r>
      <w:r>
        <w:rPr>
          <w:color w:val="231F20"/>
          <w:spacing w:val="40"/>
        </w:rPr>
        <w:t xml:space="preserve"> </w:t>
      </w:r>
      <w:r>
        <w:rPr>
          <w:color w:val="231F20"/>
        </w:rPr>
        <w:t>described</w:t>
      </w:r>
      <w:r>
        <w:rPr>
          <w:color w:val="231F20"/>
          <w:spacing w:val="40"/>
        </w:rPr>
        <w:t xml:space="preserve"> </w:t>
      </w:r>
      <w:r>
        <w:rPr>
          <w:color w:val="231F20"/>
        </w:rPr>
        <w:t>in</w:t>
      </w:r>
      <w:r>
        <w:rPr>
          <w:color w:val="231F20"/>
          <w:spacing w:val="40"/>
        </w:rPr>
        <w:t xml:space="preserve"> </w:t>
      </w:r>
      <w:r>
        <w:rPr>
          <w:color w:val="231F20"/>
        </w:rPr>
        <w:t>the</w:t>
      </w:r>
      <w:r>
        <w:rPr>
          <w:color w:val="231F20"/>
          <w:spacing w:val="40"/>
        </w:rPr>
        <w:t xml:space="preserve"> </w:t>
      </w:r>
      <w:r>
        <w:rPr>
          <w:color w:val="231F20"/>
        </w:rPr>
        <w:t>flowchart</w:t>
      </w:r>
      <w:r>
        <w:rPr>
          <w:color w:val="231F20"/>
          <w:spacing w:val="40"/>
        </w:rPr>
        <w:t xml:space="preserve"> </w:t>
      </w:r>
      <w:r>
        <w:rPr>
          <w:color w:val="231F20"/>
        </w:rPr>
        <w:t>in Fig. 4</w:t>
      </w:r>
      <w:r>
        <w:rPr>
          <w:i/>
          <w:color w:val="231F20"/>
        </w:rPr>
        <w:t>A</w:t>
      </w:r>
      <w:r>
        <w:rPr>
          <w:color w:val="231F20"/>
        </w:rPr>
        <w:t>.</w:t>
      </w:r>
    </w:p>
    <w:p w14:paraId="61A06134" w14:textId="77777777" w:rsidR="00B322A0" w:rsidRDefault="00000000">
      <w:pPr>
        <w:pStyle w:val="Textoindependiente"/>
        <w:spacing w:before="7" w:line="254" w:lineRule="auto"/>
        <w:ind w:right="38" w:firstLine="180"/>
        <w:jc w:val="both"/>
      </w:pPr>
      <w:r>
        <w:rPr>
          <w:color w:val="231F20"/>
        </w:rPr>
        <w:t>cDNA microarray expression analysis showed that after treatment with 5-aza-2-deoxycytidine, the cell lines representing early stages of carcinogenesis such as MCA3D or PAM212 show a reactivation of 2.1% and 2.4% of genes, respectively, whereas those representative</w:t>
      </w:r>
      <w:r>
        <w:rPr>
          <w:color w:val="231F20"/>
          <w:spacing w:val="40"/>
        </w:rPr>
        <w:t xml:space="preserve"> </w:t>
      </w:r>
      <w:r>
        <w:rPr>
          <w:color w:val="231F20"/>
        </w:rPr>
        <w:t>of advanced stages, such as CarB and CarC, had a restoration of expression</w:t>
      </w:r>
      <w:r>
        <w:rPr>
          <w:color w:val="231F20"/>
          <w:spacing w:val="-7"/>
        </w:rPr>
        <w:t xml:space="preserve"> </w:t>
      </w:r>
      <w:r>
        <w:rPr>
          <w:color w:val="231F20"/>
        </w:rPr>
        <w:t>of</w:t>
      </w:r>
      <w:r>
        <w:rPr>
          <w:color w:val="231F20"/>
          <w:spacing w:val="-7"/>
        </w:rPr>
        <w:t xml:space="preserve"> </w:t>
      </w:r>
      <w:r>
        <w:rPr>
          <w:color w:val="231F20"/>
        </w:rPr>
        <w:t>4.6%</w:t>
      </w:r>
      <w:r>
        <w:rPr>
          <w:color w:val="231F20"/>
          <w:spacing w:val="-7"/>
        </w:rPr>
        <w:t xml:space="preserve"> </w:t>
      </w:r>
      <w:r>
        <w:rPr>
          <w:color w:val="231F20"/>
        </w:rPr>
        <w:t>and</w:t>
      </w:r>
      <w:r>
        <w:rPr>
          <w:color w:val="231F20"/>
          <w:spacing w:val="-7"/>
        </w:rPr>
        <w:t xml:space="preserve"> </w:t>
      </w:r>
      <w:r>
        <w:rPr>
          <w:color w:val="231F20"/>
        </w:rPr>
        <w:t>5.8%</w:t>
      </w:r>
      <w:r>
        <w:rPr>
          <w:color w:val="231F20"/>
          <w:spacing w:val="-7"/>
        </w:rPr>
        <w:t xml:space="preserve"> </w:t>
      </w:r>
      <w:r>
        <w:rPr>
          <w:color w:val="231F20"/>
        </w:rPr>
        <w:t>genes,</w:t>
      </w:r>
      <w:r>
        <w:rPr>
          <w:color w:val="231F20"/>
          <w:spacing w:val="-7"/>
        </w:rPr>
        <w:t xml:space="preserve"> </w:t>
      </w:r>
      <w:r>
        <w:rPr>
          <w:color w:val="231F20"/>
        </w:rPr>
        <w:t>respectively</w:t>
      </w:r>
      <w:r>
        <w:rPr>
          <w:color w:val="231F20"/>
          <w:spacing w:val="-7"/>
        </w:rPr>
        <w:t xml:space="preserve"> </w:t>
      </w:r>
      <w:r>
        <w:rPr>
          <w:color w:val="231F20"/>
        </w:rPr>
        <w:t>(Fig.</w:t>
      </w:r>
      <w:r>
        <w:rPr>
          <w:color w:val="231F20"/>
          <w:spacing w:val="-7"/>
        </w:rPr>
        <w:t xml:space="preserve"> </w:t>
      </w:r>
      <w:r>
        <w:rPr>
          <w:color w:val="231F20"/>
        </w:rPr>
        <w:t>4</w:t>
      </w:r>
      <w:r>
        <w:rPr>
          <w:i/>
          <w:color w:val="231F20"/>
        </w:rPr>
        <w:t>B</w:t>
      </w:r>
      <w:r>
        <w:rPr>
          <w:color w:val="231F20"/>
        </w:rPr>
        <w:t>).</w:t>
      </w:r>
      <w:r>
        <w:rPr>
          <w:color w:val="231F20"/>
          <w:spacing w:val="-7"/>
        </w:rPr>
        <w:t xml:space="preserve"> </w:t>
      </w:r>
      <w:r>
        <w:rPr>
          <w:color w:val="231F20"/>
        </w:rPr>
        <w:t>Clustering analysis</w:t>
      </w:r>
      <w:r>
        <w:rPr>
          <w:color w:val="231F20"/>
          <w:spacing w:val="34"/>
        </w:rPr>
        <w:t xml:space="preserve"> </w:t>
      </w:r>
      <w:r>
        <w:rPr>
          <w:color w:val="231F20"/>
        </w:rPr>
        <w:t>of</w:t>
      </w:r>
      <w:r>
        <w:rPr>
          <w:color w:val="231F20"/>
          <w:spacing w:val="34"/>
        </w:rPr>
        <w:t xml:space="preserve"> </w:t>
      </w:r>
      <w:r>
        <w:rPr>
          <w:color w:val="231F20"/>
        </w:rPr>
        <w:t>the</w:t>
      </w:r>
      <w:r>
        <w:rPr>
          <w:color w:val="231F20"/>
          <w:spacing w:val="34"/>
        </w:rPr>
        <w:t xml:space="preserve"> </w:t>
      </w:r>
      <w:r>
        <w:rPr>
          <w:color w:val="231F20"/>
        </w:rPr>
        <w:t>pattern</w:t>
      </w:r>
      <w:r>
        <w:rPr>
          <w:color w:val="231F20"/>
          <w:spacing w:val="34"/>
        </w:rPr>
        <w:t xml:space="preserve"> </w:t>
      </w:r>
      <w:r>
        <w:rPr>
          <w:color w:val="231F20"/>
        </w:rPr>
        <w:t>of</w:t>
      </w:r>
      <w:r>
        <w:rPr>
          <w:color w:val="231F20"/>
          <w:spacing w:val="34"/>
        </w:rPr>
        <w:t xml:space="preserve"> </w:t>
      </w:r>
      <w:r>
        <w:rPr>
          <w:color w:val="231F20"/>
        </w:rPr>
        <w:t>expression</w:t>
      </w:r>
      <w:r>
        <w:rPr>
          <w:color w:val="231F20"/>
          <w:spacing w:val="34"/>
        </w:rPr>
        <w:t xml:space="preserve"> </w:t>
      </w:r>
      <w:r>
        <w:rPr>
          <w:color w:val="231F20"/>
        </w:rPr>
        <w:t>after</w:t>
      </w:r>
      <w:r>
        <w:rPr>
          <w:color w:val="231F20"/>
          <w:spacing w:val="34"/>
        </w:rPr>
        <w:t xml:space="preserve"> </w:t>
      </w:r>
      <w:r>
        <w:rPr>
          <w:color w:val="231F20"/>
        </w:rPr>
        <w:t>demethylation</w:t>
      </w:r>
      <w:r>
        <w:rPr>
          <w:color w:val="231F20"/>
          <w:spacing w:val="34"/>
        </w:rPr>
        <w:t xml:space="preserve"> </w:t>
      </w:r>
      <w:r>
        <w:rPr>
          <w:color w:val="231F20"/>
          <w:spacing w:val="-2"/>
        </w:rPr>
        <w:t>treatment</w:t>
      </w:r>
    </w:p>
    <w:p w14:paraId="60BE046B" w14:textId="77777777" w:rsidR="00B322A0" w:rsidRDefault="00000000">
      <w:pPr>
        <w:pStyle w:val="Textoindependiente"/>
        <w:spacing w:before="186" w:line="254" w:lineRule="auto"/>
        <w:ind w:right="113"/>
        <w:jc w:val="both"/>
      </w:pPr>
      <w:r>
        <w:br w:type="column"/>
      </w:r>
      <w:r>
        <w:rPr>
          <w:color w:val="231F20"/>
        </w:rPr>
        <w:t>also yielded a profile that allowed discrimination between early (MCA3D and PAM212) and advanced (CarB and CarC) tumorigen- esis (Fig. 4</w:t>
      </w:r>
      <w:r>
        <w:rPr>
          <w:i/>
          <w:color w:val="231F20"/>
        </w:rPr>
        <w:t>C</w:t>
      </w:r>
      <w:r>
        <w:rPr>
          <w:color w:val="231F20"/>
        </w:rPr>
        <w:t>).</w:t>
      </w:r>
    </w:p>
    <w:p w14:paraId="74BC78BA" w14:textId="77777777" w:rsidR="00B322A0" w:rsidRDefault="00000000">
      <w:pPr>
        <w:pStyle w:val="Textoindependiente"/>
        <w:spacing w:before="1" w:line="254" w:lineRule="auto"/>
        <w:ind w:right="113" w:firstLine="180"/>
        <w:jc w:val="both"/>
      </w:pPr>
      <w:r>
        <w:rPr>
          <w:color w:val="231F20"/>
        </w:rPr>
        <w:t>Analysis of the expression microarray data revealed 86 candidate sequences</w:t>
      </w:r>
      <w:r>
        <w:rPr>
          <w:color w:val="231F20"/>
          <w:spacing w:val="40"/>
        </w:rPr>
        <w:t xml:space="preserve"> </w:t>
      </w:r>
      <w:r>
        <w:rPr>
          <w:color w:val="231F20"/>
        </w:rPr>
        <w:t>with</w:t>
      </w:r>
      <w:r>
        <w:rPr>
          <w:color w:val="231F20"/>
          <w:spacing w:val="40"/>
        </w:rPr>
        <w:t xml:space="preserve"> </w:t>
      </w:r>
      <w:r>
        <w:rPr>
          <w:color w:val="231F20"/>
        </w:rPr>
        <w:t>a</w:t>
      </w:r>
      <w:r>
        <w:rPr>
          <w:color w:val="231F20"/>
          <w:spacing w:val="40"/>
        </w:rPr>
        <w:t xml:space="preserve"> </w:t>
      </w:r>
      <w:r>
        <w:rPr>
          <w:color w:val="231F20"/>
        </w:rPr>
        <w:t>more</w:t>
      </w:r>
      <w:r>
        <w:rPr>
          <w:color w:val="231F20"/>
          <w:spacing w:val="40"/>
        </w:rPr>
        <w:t xml:space="preserve"> </w:t>
      </w:r>
      <w:r>
        <w:rPr>
          <w:color w:val="231F20"/>
        </w:rPr>
        <w:t>than</w:t>
      </w:r>
      <w:r>
        <w:rPr>
          <w:color w:val="231F20"/>
          <w:spacing w:val="40"/>
        </w:rPr>
        <w:t xml:space="preserve"> </w:t>
      </w:r>
      <w:r>
        <w:rPr>
          <w:color w:val="231F20"/>
        </w:rPr>
        <w:t>3-fold</w:t>
      </w:r>
      <w:r>
        <w:rPr>
          <w:color w:val="231F20"/>
          <w:spacing w:val="40"/>
        </w:rPr>
        <w:t xml:space="preserve"> </w:t>
      </w:r>
      <w:r>
        <w:rPr>
          <w:color w:val="231F20"/>
        </w:rPr>
        <w:t>increase</w:t>
      </w:r>
      <w:r>
        <w:rPr>
          <w:color w:val="231F20"/>
          <w:spacing w:val="40"/>
        </w:rPr>
        <w:t xml:space="preserve"> </w:t>
      </w:r>
      <w:r>
        <w:rPr>
          <w:color w:val="231F20"/>
        </w:rPr>
        <w:t>after</w:t>
      </w:r>
      <w:r>
        <w:rPr>
          <w:color w:val="231F20"/>
          <w:spacing w:val="40"/>
        </w:rPr>
        <w:t xml:space="preserve"> </w:t>
      </w:r>
      <w:r>
        <w:rPr>
          <w:color w:val="231F20"/>
        </w:rPr>
        <w:t>treatment</w:t>
      </w:r>
      <w:r>
        <w:rPr>
          <w:color w:val="231F20"/>
          <w:spacing w:val="40"/>
        </w:rPr>
        <w:t xml:space="preserve"> </w:t>
      </w:r>
      <w:r>
        <w:rPr>
          <w:color w:val="231F20"/>
        </w:rPr>
        <w:t>with 5-aza-2-deoxycytidine (Fig. 4</w:t>
      </w:r>
      <w:r>
        <w:rPr>
          <w:i/>
          <w:color w:val="231F20"/>
        </w:rPr>
        <w:t>A</w:t>
      </w:r>
      <w:r>
        <w:rPr>
          <w:color w:val="231F20"/>
        </w:rPr>
        <w:t>). From these clones, 18 genes with putative tumor suppressor-like activities were selected, 10 of which contained</w:t>
      </w:r>
      <w:r>
        <w:rPr>
          <w:color w:val="231F20"/>
          <w:spacing w:val="-6"/>
        </w:rPr>
        <w:t xml:space="preserve"> </w:t>
      </w:r>
      <w:r>
        <w:rPr>
          <w:color w:val="231F20"/>
        </w:rPr>
        <w:t>a</w:t>
      </w:r>
      <w:r>
        <w:rPr>
          <w:color w:val="231F20"/>
          <w:spacing w:val="-6"/>
        </w:rPr>
        <w:t xml:space="preserve"> </w:t>
      </w:r>
      <w:r>
        <w:rPr>
          <w:color w:val="231F20"/>
        </w:rPr>
        <w:t>CpG</w:t>
      </w:r>
      <w:r>
        <w:rPr>
          <w:color w:val="231F20"/>
          <w:spacing w:val="-6"/>
        </w:rPr>
        <w:t xml:space="preserve"> </w:t>
      </w:r>
      <w:r>
        <w:rPr>
          <w:color w:val="231F20"/>
        </w:rPr>
        <w:t>island</w:t>
      </w:r>
      <w:r>
        <w:rPr>
          <w:color w:val="231F20"/>
          <w:spacing w:val="-6"/>
        </w:rPr>
        <w:t xml:space="preserve"> </w:t>
      </w:r>
      <w:r>
        <w:rPr>
          <w:color w:val="231F20"/>
        </w:rPr>
        <w:t>within</w:t>
      </w:r>
      <w:r>
        <w:rPr>
          <w:color w:val="231F20"/>
          <w:spacing w:val="-6"/>
        </w:rPr>
        <w:t xml:space="preserve"> </w:t>
      </w:r>
      <w:r>
        <w:rPr>
          <w:color w:val="231F20"/>
        </w:rPr>
        <w:t>their</w:t>
      </w:r>
      <w:r>
        <w:rPr>
          <w:color w:val="231F20"/>
          <w:spacing w:val="-6"/>
        </w:rPr>
        <w:t xml:space="preserve"> </w:t>
      </w:r>
      <w:r>
        <w:rPr>
          <w:color w:val="231F20"/>
        </w:rPr>
        <w:t>promoter</w:t>
      </w:r>
      <w:r>
        <w:rPr>
          <w:color w:val="231F20"/>
          <w:spacing w:val="-6"/>
        </w:rPr>
        <w:t xml:space="preserve"> </w:t>
      </w:r>
      <w:r>
        <w:rPr>
          <w:color w:val="231F20"/>
        </w:rPr>
        <w:t>region.</w:t>
      </w:r>
      <w:r>
        <w:rPr>
          <w:color w:val="231F20"/>
          <w:spacing w:val="-6"/>
        </w:rPr>
        <w:t xml:space="preserve"> </w:t>
      </w:r>
      <w:r>
        <w:rPr>
          <w:color w:val="231F20"/>
        </w:rPr>
        <w:t>We</w:t>
      </w:r>
      <w:r>
        <w:rPr>
          <w:color w:val="231F20"/>
          <w:spacing w:val="-6"/>
        </w:rPr>
        <w:t xml:space="preserve"> </w:t>
      </w:r>
      <w:r>
        <w:rPr>
          <w:color w:val="231F20"/>
        </w:rPr>
        <w:t>analyzed</w:t>
      </w:r>
      <w:r>
        <w:rPr>
          <w:color w:val="231F20"/>
          <w:spacing w:val="-6"/>
        </w:rPr>
        <w:t xml:space="preserve"> </w:t>
      </w:r>
      <w:r>
        <w:rPr>
          <w:color w:val="231F20"/>
        </w:rPr>
        <w:t>the possible methylation-associated silencing of four genes from this group: the gene encoding the LIM domain protein CRP2 molecular adapter (</w:t>
      </w:r>
      <w:r>
        <w:rPr>
          <w:i/>
          <w:color w:val="231F20"/>
        </w:rPr>
        <w:t>CSRP2</w:t>
      </w:r>
      <w:r>
        <w:rPr>
          <w:color w:val="231F20"/>
        </w:rPr>
        <w:t>; Ref. 26), the insulin-like growth factor binding protein-3 (</w:t>
      </w:r>
      <w:r>
        <w:rPr>
          <w:i/>
          <w:color w:val="231F20"/>
        </w:rPr>
        <w:t>IGFBP3</w:t>
      </w:r>
      <w:r>
        <w:rPr>
          <w:color w:val="231F20"/>
        </w:rPr>
        <w:t xml:space="preserve">; Ref. 27), the chemokine receptor </w:t>
      </w:r>
      <w:r>
        <w:rPr>
          <w:i/>
          <w:color w:val="231F20"/>
        </w:rPr>
        <w:t xml:space="preserve">CMKAR4 </w:t>
      </w:r>
      <w:r>
        <w:rPr>
          <w:color w:val="231F20"/>
        </w:rPr>
        <w:t>(28), and the antioxidant enzyme peroxiredoxin-1 (</w:t>
      </w:r>
      <w:r>
        <w:rPr>
          <w:i/>
          <w:color w:val="231F20"/>
        </w:rPr>
        <w:t>PRDX1</w:t>
      </w:r>
      <w:r>
        <w:rPr>
          <w:color w:val="231F20"/>
        </w:rPr>
        <w:t xml:space="preserve">; Ref. 29). CpG island hypermethylation was found to be present in the promoters of </w:t>
      </w:r>
      <w:r>
        <w:rPr>
          <w:i/>
          <w:color w:val="231F20"/>
        </w:rPr>
        <w:t xml:space="preserve">IGFBP3, CMKAR4, </w:t>
      </w:r>
      <w:r>
        <w:rPr>
          <w:color w:val="231F20"/>
        </w:rPr>
        <w:t xml:space="preserve">and </w:t>
      </w:r>
      <w:r>
        <w:rPr>
          <w:i/>
          <w:color w:val="231F20"/>
        </w:rPr>
        <w:t xml:space="preserve">PRDX1 </w:t>
      </w:r>
      <w:r>
        <w:rPr>
          <w:color w:val="231F20"/>
        </w:rPr>
        <w:t xml:space="preserve">genes at different stages of the mouse skin carcinogenesis model, in both cancer cell lines and pri- mary tumors (Table 2; Supplemental Data). Hypermethylation of </w:t>
      </w:r>
      <w:r>
        <w:rPr>
          <w:i/>
          <w:color w:val="231F20"/>
        </w:rPr>
        <w:t xml:space="preserve">CSRP2 </w:t>
      </w:r>
      <w:r>
        <w:rPr>
          <w:color w:val="231F20"/>
        </w:rPr>
        <w:t>was only found in 1 of 10 mouse skin tumor cell lines. The presence</w:t>
      </w:r>
      <w:r>
        <w:rPr>
          <w:color w:val="231F20"/>
          <w:spacing w:val="-8"/>
        </w:rPr>
        <w:t xml:space="preserve"> </w:t>
      </w:r>
      <w:r>
        <w:rPr>
          <w:color w:val="231F20"/>
        </w:rPr>
        <w:t>of</w:t>
      </w:r>
      <w:r>
        <w:rPr>
          <w:color w:val="231F20"/>
          <w:spacing w:val="-8"/>
        </w:rPr>
        <w:t xml:space="preserve"> </w:t>
      </w:r>
      <w:r>
        <w:rPr>
          <w:color w:val="231F20"/>
        </w:rPr>
        <w:t>promoter</w:t>
      </w:r>
      <w:r>
        <w:rPr>
          <w:color w:val="231F20"/>
          <w:spacing w:val="-8"/>
        </w:rPr>
        <w:t xml:space="preserve"> </w:t>
      </w:r>
      <w:r>
        <w:rPr>
          <w:color w:val="231F20"/>
        </w:rPr>
        <w:t>hypermethylation</w:t>
      </w:r>
      <w:r>
        <w:rPr>
          <w:color w:val="231F20"/>
          <w:spacing w:val="-8"/>
        </w:rPr>
        <w:t xml:space="preserve"> </w:t>
      </w:r>
      <w:r>
        <w:rPr>
          <w:color w:val="231F20"/>
        </w:rPr>
        <w:t>was</w:t>
      </w:r>
      <w:r>
        <w:rPr>
          <w:color w:val="231F20"/>
          <w:spacing w:val="-8"/>
        </w:rPr>
        <w:t xml:space="preserve"> </w:t>
      </w:r>
      <w:r>
        <w:rPr>
          <w:color w:val="231F20"/>
        </w:rPr>
        <w:t>associated</w:t>
      </w:r>
      <w:r>
        <w:rPr>
          <w:color w:val="231F20"/>
          <w:spacing w:val="-8"/>
        </w:rPr>
        <w:t xml:space="preserve"> </w:t>
      </w:r>
      <w:r>
        <w:rPr>
          <w:color w:val="231F20"/>
        </w:rPr>
        <w:t>with</w:t>
      </w:r>
      <w:r>
        <w:rPr>
          <w:color w:val="231F20"/>
          <w:spacing w:val="-8"/>
        </w:rPr>
        <w:t xml:space="preserve"> </w:t>
      </w:r>
      <w:r>
        <w:rPr>
          <w:color w:val="231F20"/>
        </w:rPr>
        <w:t xml:space="preserve">transcrip- tional repression in all of the cases, which was relieved by the use of 5-aza-2-deoxycytidine. The representative detailed methylation and expression analysis for the </w:t>
      </w:r>
      <w:r>
        <w:rPr>
          <w:i/>
          <w:color w:val="231F20"/>
        </w:rPr>
        <w:t xml:space="preserve">IGFBP3 </w:t>
      </w:r>
      <w:r>
        <w:rPr>
          <w:color w:val="231F20"/>
        </w:rPr>
        <w:t>gene is shown as an example in Fig. 4</w:t>
      </w:r>
      <w:r>
        <w:rPr>
          <w:i/>
          <w:color w:val="231F20"/>
        </w:rPr>
        <w:t>D</w:t>
      </w:r>
      <w:r>
        <w:rPr>
          <w:color w:val="231F20"/>
        </w:rPr>
        <w:t>.</w:t>
      </w:r>
    </w:p>
    <w:p w14:paraId="7D705B12" w14:textId="77777777" w:rsidR="00B322A0" w:rsidRDefault="00B322A0">
      <w:pPr>
        <w:spacing w:line="254" w:lineRule="auto"/>
        <w:jc w:val="both"/>
        <w:sectPr w:rsidR="00B322A0" w:rsidSect="00BA4BCE">
          <w:pgSz w:w="11700" w:h="15660"/>
          <w:pgMar w:top="620" w:right="560" w:bottom="920" w:left="600" w:header="428" w:footer="719" w:gutter="0"/>
          <w:cols w:num="2" w:space="720" w:equalWidth="0">
            <w:col w:w="5185" w:space="95"/>
            <w:col w:w="5260"/>
          </w:cols>
        </w:sectPr>
      </w:pPr>
    </w:p>
    <w:p w14:paraId="5A62CA22" w14:textId="77777777" w:rsidR="00B322A0" w:rsidRDefault="00000000">
      <w:pPr>
        <w:pStyle w:val="Textoindependiente"/>
        <w:ind w:left="0"/>
        <w:rPr>
          <w:sz w:val="20"/>
        </w:rPr>
      </w:pPr>
      <w:r>
        <w:rPr>
          <w:noProof/>
        </w:rPr>
        <mc:AlternateContent>
          <mc:Choice Requires="wps">
            <w:drawing>
              <wp:anchor distT="0" distB="0" distL="0" distR="0" simplePos="0" relativeHeight="15732224" behindDoc="0" locked="0" layoutInCell="1" allowOverlap="1" wp14:anchorId="422A73DD" wp14:editId="71ABC471">
                <wp:simplePos x="0" y="0"/>
                <wp:positionH relativeFrom="page">
                  <wp:posOffset>7108425</wp:posOffset>
                </wp:positionH>
                <wp:positionV relativeFrom="page">
                  <wp:posOffset>1928114</wp:posOffset>
                </wp:positionV>
                <wp:extent cx="111125" cy="619950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1C6FCF56"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24">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422A73DD" id="Textbox 13" o:spid="_x0000_s1030" type="#_x0000_t202" style="position:absolute;margin-left:559.7pt;margin-top:151.8pt;width:8.75pt;height:488.15pt;z-index:1573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" filled="f" stroked="f">
                <v:textbox style="layout-flow:vertical" inset="0,0,0,0">
                  <w:txbxContent>
                    <w:p w14:paraId="1C6FCF56"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25">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p>
    <w:p w14:paraId="1AF1594A" w14:textId="77777777" w:rsidR="00B322A0" w:rsidRDefault="00B322A0">
      <w:pPr>
        <w:pStyle w:val="Textoindependiente"/>
        <w:spacing w:before="52" w:after="1"/>
        <w:ind w:left="0"/>
        <w:rPr>
          <w:sz w:val="20"/>
        </w:rPr>
      </w:pPr>
    </w:p>
    <w:p w14:paraId="37FB24AE" w14:textId="77777777" w:rsidR="00B322A0" w:rsidRDefault="00000000">
      <w:pPr>
        <w:pStyle w:val="Textoindependiente"/>
        <w:rPr>
          <w:sz w:val="20"/>
        </w:rPr>
      </w:pPr>
      <w:r>
        <w:rPr>
          <w:noProof/>
          <w:sz w:val="20"/>
        </w:rPr>
        <w:drawing>
          <wp:inline distT="0" distB="0" distL="0" distR="0" wp14:anchorId="659C171D" wp14:editId="302F9B50">
            <wp:extent cx="6564110" cy="4693920"/>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6" cstate="print"/>
                    <a:stretch>
                      <a:fillRect/>
                    </a:stretch>
                  </pic:blipFill>
                  <pic:spPr>
                    <a:xfrm>
                      <a:off x="0" y="0"/>
                      <a:ext cx="6564110" cy="4693920"/>
                    </a:xfrm>
                    <a:prstGeom prst="rect">
                      <a:avLst/>
                    </a:prstGeom>
                  </pic:spPr>
                </pic:pic>
              </a:graphicData>
            </a:graphic>
          </wp:inline>
        </w:drawing>
      </w:r>
    </w:p>
    <w:p w14:paraId="38BAF4EA" w14:textId="77777777" w:rsidR="00B322A0" w:rsidRDefault="00000000">
      <w:pPr>
        <w:spacing w:before="82" w:line="230" w:lineRule="auto"/>
        <w:ind w:left="103" w:right="113" w:firstLine="180"/>
        <w:jc w:val="both"/>
        <w:rPr>
          <w:sz w:val="14"/>
        </w:rPr>
      </w:pPr>
      <w:r>
        <w:rPr>
          <w:color w:val="231F20"/>
          <w:sz w:val="14"/>
        </w:rPr>
        <w:t>Fig.</w:t>
      </w:r>
      <w:r>
        <w:rPr>
          <w:color w:val="231F20"/>
          <w:spacing w:val="-2"/>
          <w:sz w:val="14"/>
        </w:rPr>
        <w:t xml:space="preserve"> </w:t>
      </w:r>
      <w:r>
        <w:rPr>
          <w:color w:val="231F20"/>
          <w:sz w:val="14"/>
        </w:rPr>
        <w:t>4.</w:t>
      </w:r>
      <w:r>
        <w:rPr>
          <w:color w:val="231F20"/>
          <w:spacing w:val="-2"/>
          <w:sz w:val="14"/>
        </w:rPr>
        <w:t xml:space="preserve"> </w:t>
      </w:r>
      <w:r>
        <w:rPr>
          <w:color w:val="231F20"/>
          <w:sz w:val="14"/>
        </w:rPr>
        <w:t>Searching</w:t>
      </w:r>
      <w:r>
        <w:rPr>
          <w:color w:val="231F20"/>
          <w:spacing w:val="-2"/>
          <w:sz w:val="14"/>
        </w:rPr>
        <w:t xml:space="preserve"> </w:t>
      </w:r>
      <w:r>
        <w:rPr>
          <w:color w:val="231F20"/>
          <w:sz w:val="14"/>
        </w:rPr>
        <w:t>for</w:t>
      </w:r>
      <w:r>
        <w:rPr>
          <w:color w:val="231F20"/>
          <w:spacing w:val="-2"/>
          <w:sz w:val="14"/>
        </w:rPr>
        <w:t xml:space="preserve"> </w:t>
      </w:r>
      <w:r>
        <w:rPr>
          <w:color w:val="231F20"/>
          <w:sz w:val="14"/>
        </w:rPr>
        <w:t>new</w:t>
      </w:r>
      <w:r>
        <w:rPr>
          <w:color w:val="231F20"/>
          <w:spacing w:val="-2"/>
          <w:sz w:val="14"/>
        </w:rPr>
        <w:t xml:space="preserve"> </w:t>
      </w:r>
      <w:r>
        <w:rPr>
          <w:color w:val="231F20"/>
          <w:sz w:val="14"/>
        </w:rPr>
        <w:t>hypermethylated</w:t>
      </w:r>
      <w:r>
        <w:rPr>
          <w:color w:val="231F20"/>
          <w:spacing w:val="-2"/>
          <w:sz w:val="14"/>
        </w:rPr>
        <w:t xml:space="preserve"> </w:t>
      </w:r>
      <w:r>
        <w:rPr>
          <w:color w:val="231F20"/>
          <w:sz w:val="14"/>
        </w:rPr>
        <w:t>genes</w:t>
      </w:r>
      <w:r>
        <w:rPr>
          <w:color w:val="231F20"/>
          <w:spacing w:val="-2"/>
          <w:sz w:val="14"/>
        </w:rPr>
        <w:t xml:space="preserve"> </w:t>
      </w:r>
      <w:r>
        <w:rPr>
          <w:color w:val="231F20"/>
          <w:sz w:val="14"/>
        </w:rPr>
        <w:t>by</w:t>
      </w:r>
      <w:r>
        <w:rPr>
          <w:color w:val="231F20"/>
          <w:spacing w:val="-2"/>
          <w:sz w:val="14"/>
        </w:rPr>
        <w:t xml:space="preserve"> </w:t>
      </w:r>
      <w:r>
        <w:rPr>
          <w:color w:val="231F20"/>
          <w:sz w:val="14"/>
        </w:rPr>
        <w:t>combining</w:t>
      </w:r>
      <w:r>
        <w:rPr>
          <w:color w:val="231F20"/>
          <w:spacing w:val="-2"/>
          <w:sz w:val="14"/>
        </w:rPr>
        <w:t xml:space="preserve"> </w:t>
      </w:r>
      <w:r>
        <w:rPr>
          <w:color w:val="231F20"/>
          <w:sz w:val="14"/>
        </w:rPr>
        <w:t>cDNA</w:t>
      </w:r>
      <w:r>
        <w:rPr>
          <w:color w:val="231F20"/>
          <w:spacing w:val="-2"/>
          <w:sz w:val="14"/>
        </w:rPr>
        <w:t xml:space="preserve"> </w:t>
      </w:r>
      <w:r>
        <w:rPr>
          <w:color w:val="231F20"/>
          <w:sz w:val="14"/>
        </w:rPr>
        <w:t>microarray</w:t>
      </w:r>
      <w:r>
        <w:rPr>
          <w:color w:val="231F20"/>
          <w:spacing w:val="-2"/>
          <w:sz w:val="14"/>
        </w:rPr>
        <w:t xml:space="preserve"> </w:t>
      </w:r>
      <w:r>
        <w:rPr>
          <w:color w:val="231F20"/>
          <w:sz w:val="14"/>
        </w:rPr>
        <w:t>technology</w:t>
      </w:r>
      <w:r>
        <w:rPr>
          <w:color w:val="231F20"/>
          <w:spacing w:val="-2"/>
          <w:sz w:val="14"/>
        </w:rPr>
        <w:t xml:space="preserve"> </w:t>
      </w:r>
      <w:r>
        <w:rPr>
          <w:color w:val="231F20"/>
          <w:sz w:val="14"/>
        </w:rPr>
        <w:t>with</w:t>
      </w:r>
      <w:r>
        <w:rPr>
          <w:color w:val="231F20"/>
          <w:spacing w:val="-2"/>
          <w:sz w:val="14"/>
        </w:rPr>
        <w:t xml:space="preserve"> </w:t>
      </w:r>
      <w:r>
        <w:rPr>
          <w:color w:val="231F20"/>
          <w:sz w:val="14"/>
        </w:rPr>
        <w:t>5-aza-2-deoxycytidine</w:t>
      </w:r>
      <w:r>
        <w:rPr>
          <w:color w:val="231F20"/>
          <w:spacing w:val="-2"/>
          <w:sz w:val="14"/>
        </w:rPr>
        <w:t xml:space="preserve"> </w:t>
      </w:r>
      <w:r>
        <w:rPr>
          <w:color w:val="231F20"/>
          <w:sz w:val="14"/>
        </w:rPr>
        <w:t>treatment.</w:t>
      </w:r>
      <w:r>
        <w:rPr>
          <w:color w:val="231F20"/>
          <w:spacing w:val="-1"/>
          <w:sz w:val="14"/>
        </w:rPr>
        <w:t xml:space="preserve"> </w:t>
      </w:r>
      <w:r>
        <w:rPr>
          <w:i/>
          <w:color w:val="231F20"/>
          <w:sz w:val="14"/>
        </w:rPr>
        <w:t>A,</w:t>
      </w:r>
      <w:r>
        <w:rPr>
          <w:i/>
          <w:color w:val="231F20"/>
          <w:spacing w:val="-2"/>
          <w:sz w:val="14"/>
        </w:rPr>
        <w:t xml:space="preserve"> </w:t>
      </w:r>
      <w:r>
        <w:rPr>
          <w:color w:val="231F20"/>
          <w:sz w:val="14"/>
        </w:rPr>
        <w:t>flowchart</w:t>
      </w:r>
      <w:r>
        <w:rPr>
          <w:color w:val="231F20"/>
          <w:spacing w:val="-2"/>
          <w:sz w:val="14"/>
        </w:rPr>
        <w:t xml:space="preserve"> </w:t>
      </w:r>
      <w:r>
        <w:rPr>
          <w:color w:val="231F20"/>
          <w:sz w:val="14"/>
        </w:rPr>
        <w:t>for</w:t>
      </w:r>
      <w:r>
        <w:rPr>
          <w:color w:val="231F20"/>
          <w:spacing w:val="-2"/>
          <w:sz w:val="14"/>
        </w:rPr>
        <w:t xml:space="preserve"> </w:t>
      </w:r>
      <w:r>
        <w:rPr>
          <w:color w:val="231F20"/>
          <w:sz w:val="14"/>
        </w:rPr>
        <w:t>the</w:t>
      </w:r>
      <w:r>
        <w:rPr>
          <w:color w:val="231F20"/>
          <w:spacing w:val="-2"/>
          <w:sz w:val="14"/>
        </w:rPr>
        <w:t xml:space="preserve"> </w:t>
      </w:r>
      <w:r>
        <w:rPr>
          <w:color w:val="231F20"/>
          <w:sz w:val="14"/>
        </w:rPr>
        <w:t>identification</w:t>
      </w:r>
      <w:r>
        <w:rPr>
          <w:color w:val="231F20"/>
          <w:spacing w:val="-2"/>
          <w:sz w:val="14"/>
        </w:rPr>
        <w:t xml:space="preserve"> </w:t>
      </w:r>
      <w:r>
        <w:rPr>
          <w:color w:val="231F20"/>
          <w:sz w:val="14"/>
        </w:rPr>
        <w:t>of</w:t>
      </w:r>
      <w:r>
        <w:rPr>
          <w:color w:val="231F20"/>
          <w:spacing w:val="-2"/>
          <w:sz w:val="14"/>
        </w:rPr>
        <w:t xml:space="preserve"> </w:t>
      </w:r>
      <w:r>
        <w:rPr>
          <w:color w:val="231F20"/>
          <w:sz w:val="14"/>
        </w:rPr>
        <w:t>new</w:t>
      </w:r>
      <w:r>
        <w:rPr>
          <w:color w:val="231F20"/>
          <w:spacing w:val="-2"/>
          <w:sz w:val="14"/>
        </w:rPr>
        <w:t xml:space="preserve"> </w:t>
      </w:r>
      <w:r>
        <w:rPr>
          <w:color w:val="231F20"/>
          <w:sz w:val="14"/>
        </w:rPr>
        <w:t>genes</w:t>
      </w:r>
      <w:r>
        <w:rPr>
          <w:color w:val="231F20"/>
          <w:spacing w:val="40"/>
          <w:sz w:val="14"/>
        </w:rPr>
        <w:t xml:space="preserve"> </w:t>
      </w:r>
      <w:r>
        <w:rPr>
          <w:color w:val="231F20"/>
          <w:sz w:val="14"/>
        </w:rPr>
        <w:t xml:space="preserve">with methylation-associated silencing. </w:t>
      </w:r>
      <w:r>
        <w:rPr>
          <w:i/>
          <w:color w:val="231F20"/>
          <w:sz w:val="14"/>
        </w:rPr>
        <w:t xml:space="preserve">B, </w:t>
      </w:r>
      <w:r>
        <w:rPr>
          <w:color w:val="231F20"/>
          <w:sz w:val="14"/>
        </w:rPr>
        <w:t xml:space="preserve">percentage of overexpressed genes after treatment with 5-aza-2-deoxycytidine in the tumor progression model. </w:t>
      </w:r>
      <w:r>
        <w:rPr>
          <w:i/>
          <w:color w:val="231F20"/>
          <w:sz w:val="14"/>
        </w:rPr>
        <w:t xml:space="preserve">C, </w:t>
      </w:r>
      <w:r>
        <w:rPr>
          <w:color w:val="231F20"/>
          <w:sz w:val="14"/>
        </w:rPr>
        <w:t>aggregative hierarchical</w:t>
      </w:r>
      <w:r>
        <w:rPr>
          <w:color w:val="231F20"/>
          <w:spacing w:val="40"/>
          <w:sz w:val="14"/>
        </w:rPr>
        <w:t xml:space="preserve"> </w:t>
      </w:r>
      <w:r>
        <w:rPr>
          <w:color w:val="231F20"/>
          <w:sz w:val="14"/>
        </w:rPr>
        <w:t xml:space="preserve">clustering of the expression data obtained. </w:t>
      </w:r>
      <w:r>
        <w:rPr>
          <w:i/>
          <w:color w:val="231F20"/>
          <w:sz w:val="14"/>
        </w:rPr>
        <w:t xml:space="preserve">D, </w:t>
      </w:r>
      <w:r>
        <w:rPr>
          <w:color w:val="231F20"/>
          <w:sz w:val="14"/>
        </w:rPr>
        <w:t>example of the detailed analysis of one of the genes identified using the above described approach</w:t>
      </w:r>
      <w:r>
        <w:rPr>
          <w:i/>
          <w:color w:val="231F20"/>
          <w:sz w:val="14"/>
        </w:rPr>
        <w:t>, IGFBP3</w:t>
      </w:r>
      <w:r>
        <w:rPr>
          <w:color w:val="231F20"/>
          <w:sz w:val="14"/>
        </w:rPr>
        <w:t xml:space="preserve">. </w:t>
      </w:r>
      <w:r>
        <w:rPr>
          <w:i/>
          <w:color w:val="231F20"/>
          <w:sz w:val="14"/>
        </w:rPr>
        <w:t xml:space="preserve">Up, </w:t>
      </w:r>
      <w:r>
        <w:rPr>
          <w:color w:val="231F20"/>
          <w:sz w:val="14"/>
        </w:rPr>
        <w:t>bisulfite genomic</w:t>
      </w:r>
      <w:r>
        <w:rPr>
          <w:color w:val="231F20"/>
          <w:spacing w:val="40"/>
          <w:sz w:val="14"/>
        </w:rPr>
        <w:t xml:space="preserve"> </w:t>
      </w:r>
      <w:r>
        <w:rPr>
          <w:color w:val="231F20"/>
          <w:sz w:val="14"/>
        </w:rPr>
        <w:t>sequencing</w:t>
      </w:r>
      <w:r>
        <w:rPr>
          <w:color w:val="231F20"/>
          <w:spacing w:val="-2"/>
          <w:sz w:val="14"/>
        </w:rPr>
        <w:t xml:space="preserve"> </w:t>
      </w:r>
      <w:r>
        <w:rPr>
          <w:color w:val="231F20"/>
          <w:sz w:val="14"/>
        </w:rPr>
        <w:t>analysis</w:t>
      </w:r>
      <w:r>
        <w:rPr>
          <w:color w:val="231F20"/>
          <w:spacing w:val="-2"/>
          <w:sz w:val="14"/>
        </w:rPr>
        <w:t xml:space="preserve"> </w:t>
      </w:r>
      <w:r>
        <w:rPr>
          <w:color w:val="231F20"/>
          <w:sz w:val="14"/>
        </w:rPr>
        <w:t>of</w:t>
      </w:r>
      <w:r>
        <w:rPr>
          <w:color w:val="231F20"/>
          <w:spacing w:val="-2"/>
          <w:sz w:val="14"/>
        </w:rPr>
        <w:t xml:space="preserve"> </w:t>
      </w:r>
      <w:r>
        <w:rPr>
          <w:color w:val="231F20"/>
          <w:sz w:val="14"/>
        </w:rPr>
        <w:t>the</w:t>
      </w:r>
      <w:r>
        <w:rPr>
          <w:color w:val="231F20"/>
          <w:spacing w:val="-1"/>
          <w:sz w:val="14"/>
        </w:rPr>
        <w:t xml:space="preserve"> </w:t>
      </w:r>
      <w:r>
        <w:rPr>
          <w:i/>
          <w:color w:val="231F20"/>
          <w:sz w:val="14"/>
        </w:rPr>
        <w:t>IGFBP3</w:t>
      </w:r>
      <w:r>
        <w:rPr>
          <w:i/>
          <w:color w:val="231F20"/>
          <w:spacing w:val="-2"/>
          <w:sz w:val="14"/>
        </w:rPr>
        <w:t xml:space="preserve"> </w:t>
      </w:r>
      <w:r>
        <w:rPr>
          <w:color w:val="231F20"/>
          <w:sz w:val="14"/>
        </w:rPr>
        <w:t>CpG</w:t>
      </w:r>
      <w:r>
        <w:rPr>
          <w:color w:val="231F20"/>
          <w:spacing w:val="-2"/>
          <w:sz w:val="14"/>
        </w:rPr>
        <w:t xml:space="preserve"> </w:t>
      </w:r>
      <w:r>
        <w:rPr>
          <w:color w:val="231F20"/>
          <w:sz w:val="14"/>
        </w:rPr>
        <w:t>island;</w:t>
      </w:r>
      <w:r>
        <w:rPr>
          <w:color w:val="231F20"/>
          <w:spacing w:val="-2"/>
          <w:sz w:val="14"/>
        </w:rPr>
        <w:t xml:space="preserve"> </w:t>
      </w:r>
      <w:r>
        <w:rPr>
          <w:i/>
          <w:color w:val="231F20"/>
          <w:sz w:val="14"/>
        </w:rPr>
        <w:t>down,</w:t>
      </w:r>
      <w:r>
        <w:rPr>
          <w:i/>
          <w:color w:val="231F20"/>
          <w:spacing w:val="-2"/>
          <w:sz w:val="14"/>
        </w:rPr>
        <w:t xml:space="preserve"> </w:t>
      </w:r>
      <w:r>
        <w:rPr>
          <w:color w:val="231F20"/>
          <w:sz w:val="14"/>
        </w:rPr>
        <w:t>reactivation</w:t>
      </w:r>
      <w:r>
        <w:rPr>
          <w:color w:val="231F20"/>
          <w:spacing w:val="-2"/>
          <w:sz w:val="14"/>
        </w:rPr>
        <w:t xml:space="preserve"> </w:t>
      </w:r>
      <w:r>
        <w:rPr>
          <w:color w:val="231F20"/>
          <w:sz w:val="14"/>
        </w:rPr>
        <w:t>of</w:t>
      </w:r>
      <w:r>
        <w:rPr>
          <w:color w:val="231F20"/>
          <w:spacing w:val="-1"/>
          <w:sz w:val="14"/>
        </w:rPr>
        <w:t xml:space="preserve"> </w:t>
      </w:r>
      <w:r>
        <w:rPr>
          <w:i/>
          <w:color w:val="231F20"/>
          <w:sz w:val="14"/>
        </w:rPr>
        <w:t>IGFBP3</w:t>
      </w:r>
      <w:r>
        <w:rPr>
          <w:i/>
          <w:color w:val="231F20"/>
          <w:spacing w:val="-2"/>
          <w:sz w:val="14"/>
        </w:rPr>
        <w:t xml:space="preserve"> </w:t>
      </w:r>
      <w:r>
        <w:rPr>
          <w:color w:val="231F20"/>
          <w:sz w:val="14"/>
        </w:rPr>
        <w:t>expression</w:t>
      </w:r>
      <w:r>
        <w:rPr>
          <w:color w:val="231F20"/>
          <w:spacing w:val="-2"/>
          <w:sz w:val="14"/>
        </w:rPr>
        <w:t xml:space="preserve"> </w:t>
      </w:r>
      <w:r>
        <w:rPr>
          <w:color w:val="231F20"/>
          <w:sz w:val="14"/>
        </w:rPr>
        <w:t>by</w:t>
      </w:r>
      <w:r>
        <w:rPr>
          <w:color w:val="231F20"/>
          <w:spacing w:val="-2"/>
          <w:sz w:val="14"/>
        </w:rPr>
        <w:t xml:space="preserve"> </w:t>
      </w:r>
      <w:r>
        <w:rPr>
          <w:color w:val="231F20"/>
          <w:sz w:val="14"/>
        </w:rPr>
        <w:t>treatment</w:t>
      </w:r>
      <w:r>
        <w:rPr>
          <w:color w:val="231F20"/>
          <w:spacing w:val="-2"/>
          <w:sz w:val="14"/>
        </w:rPr>
        <w:t xml:space="preserve"> </w:t>
      </w:r>
      <w:r>
        <w:rPr>
          <w:color w:val="231F20"/>
          <w:sz w:val="14"/>
        </w:rPr>
        <w:t>with</w:t>
      </w:r>
      <w:r>
        <w:rPr>
          <w:color w:val="231F20"/>
          <w:spacing w:val="-2"/>
          <w:sz w:val="14"/>
        </w:rPr>
        <w:t xml:space="preserve"> </w:t>
      </w:r>
      <w:r>
        <w:rPr>
          <w:color w:val="231F20"/>
          <w:sz w:val="14"/>
        </w:rPr>
        <w:t>the</w:t>
      </w:r>
      <w:r>
        <w:rPr>
          <w:color w:val="231F20"/>
          <w:spacing w:val="-2"/>
          <w:sz w:val="14"/>
        </w:rPr>
        <w:t xml:space="preserve"> </w:t>
      </w:r>
      <w:r>
        <w:rPr>
          <w:color w:val="231F20"/>
          <w:sz w:val="14"/>
        </w:rPr>
        <w:t>demethylating</w:t>
      </w:r>
      <w:r>
        <w:rPr>
          <w:color w:val="231F20"/>
          <w:spacing w:val="-2"/>
          <w:sz w:val="14"/>
        </w:rPr>
        <w:t xml:space="preserve"> </w:t>
      </w:r>
      <w:r>
        <w:rPr>
          <w:color w:val="231F20"/>
          <w:sz w:val="14"/>
        </w:rPr>
        <w:t>drug.</w:t>
      </w:r>
      <w:r>
        <w:rPr>
          <w:color w:val="231F20"/>
          <w:spacing w:val="-1"/>
          <w:sz w:val="14"/>
        </w:rPr>
        <w:t xml:space="preserve"> </w:t>
      </w:r>
      <w:r>
        <w:rPr>
          <w:rFonts w:ascii="Verdana" w:hAnsi="Verdana"/>
          <w:color w:val="231F20"/>
          <w:sz w:val="14"/>
        </w:rPr>
        <w:t>β</w:t>
      </w:r>
      <w:r>
        <w:rPr>
          <w:i/>
          <w:color w:val="231F20"/>
          <w:sz w:val="14"/>
        </w:rPr>
        <w:t>-Actin</w:t>
      </w:r>
      <w:r>
        <w:rPr>
          <w:i/>
          <w:color w:val="231F20"/>
          <w:spacing w:val="-2"/>
          <w:sz w:val="14"/>
        </w:rPr>
        <w:t xml:space="preserve"> </w:t>
      </w:r>
      <w:r>
        <w:rPr>
          <w:color w:val="231F20"/>
          <w:sz w:val="14"/>
        </w:rPr>
        <w:t>expression</w:t>
      </w:r>
      <w:r>
        <w:rPr>
          <w:color w:val="231F20"/>
          <w:spacing w:val="-2"/>
          <w:sz w:val="14"/>
        </w:rPr>
        <w:t xml:space="preserve"> </w:t>
      </w:r>
      <w:r>
        <w:rPr>
          <w:color w:val="231F20"/>
          <w:sz w:val="14"/>
        </w:rPr>
        <w:t>is</w:t>
      </w:r>
      <w:r>
        <w:rPr>
          <w:color w:val="231F20"/>
          <w:spacing w:val="-2"/>
          <w:sz w:val="14"/>
        </w:rPr>
        <w:t xml:space="preserve"> </w:t>
      </w:r>
      <w:r>
        <w:rPr>
          <w:color w:val="231F20"/>
          <w:sz w:val="14"/>
        </w:rPr>
        <w:t>shown</w:t>
      </w:r>
      <w:r>
        <w:rPr>
          <w:color w:val="231F20"/>
          <w:spacing w:val="-2"/>
          <w:sz w:val="14"/>
        </w:rPr>
        <w:t xml:space="preserve"> </w:t>
      </w:r>
      <w:r>
        <w:rPr>
          <w:color w:val="231F20"/>
          <w:sz w:val="14"/>
        </w:rPr>
        <w:t>as</w:t>
      </w:r>
      <w:r>
        <w:rPr>
          <w:color w:val="231F20"/>
          <w:spacing w:val="-2"/>
          <w:sz w:val="14"/>
        </w:rPr>
        <w:t xml:space="preserve"> </w:t>
      </w:r>
      <w:r>
        <w:rPr>
          <w:color w:val="231F20"/>
          <w:sz w:val="14"/>
        </w:rPr>
        <w:t>an</w:t>
      </w:r>
      <w:r>
        <w:rPr>
          <w:color w:val="231F20"/>
          <w:spacing w:val="-2"/>
          <w:sz w:val="14"/>
        </w:rPr>
        <w:t xml:space="preserve"> </w:t>
      </w:r>
      <w:r>
        <w:rPr>
          <w:color w:val="231F20"/>
          <w:sz w:val="14"/>
        </w:rPr>
        <w:t>internal</w:t>
      </w:r>
      <w:r>
        <w:rPr>
          <w:color w:val="231F20"/>
          <w:spacing w:val="-2"/>
          <w:sz w:val="14"/>
        </w:rPr>
        <w:t xml:space="preserve"> </w:t>
      </w:r>
      <w:r>
        <w:rPr>
          <w:color w:val="231F20"/>
          <w:sz w:val="14"/>
        </w:rPr>
        <w:t>control;</w:t>
      </w:r>
      <w:r>
        <w:rPr>
          <w:color w:val="231F20"/>
          <w:spacing w:val="40"/>
          <w:sz w:val="14"/>
        </w:rPr>
        <w:t xml:space="preserve"> </w:t>
      </w:r>
      <w:r>
        <w:rPr>
          <w:i/>
          <w:color w:val="231F20"/>
          <w:sz w:val="14"/>
        </w:rPr>
        <w:t xml:space="preserve">bars, </w:t>
      </w:r>
      <w:r>
        <w:rPr>
          <w:rFonts w:ascii="Verdana" w:hAnsi="Verdana"/>
          <w:color w:val="231F20"/>
          <w:sz w:val="14"/>
        </w:rPr>
        <w:t>±</w:t>
      </w:r>
      <w:r>
        <w:rPr>
          <w:color w:val="231F20"/>
          <w:sz w:val="14"/>
        </w:rPr>
        <w:t>SD.</w:t>
      </w:r>
    </w:p>
    <w:p w14:paraId="77527658" w14:textId="77777777" w:rsidR="00B322A0" w:rsidRDefault="00B322A0">
      <w:pPr>
        <w:spacing w:line="230" w:lineRule="auto"/>
        <w:jc w:val="both"/>
        <w:rPr>
          <w:sz w:val="14"/>
        </w:rPr>
        <w:sectPr w:rsidR="00B322A0" w:rsidSect="00BA4BCE">
          <w:type w:val="continuous"/>
          <w:pgSz w:w="11700" w:h="15660"/>
          <w:pgMar w:top="420" w:right="560" w:bottom="920" w:left="600" w:header="428" w:footer="719" w:gutter="0"/>
          <w:cols w:space="720"/>
        </w:sectPr>
      </w:pPr>
    </w:p>
    <w:p w14:paraId="3192F6CB" w14:textId="77777777" w:rsidR="00B322A0" w:rsidRDefault="00000000">
      <w:pPr>
        <w:pStyle w:val="Textoindependiente"/>
        <w:spacing w:before="186" w:line="254" w:lineRule="auto"/>
        <w:ind w:right="38" w:firstLine="180"/>
        <w:jc w:val="both"/>
      </w:pPr>
      <w:r>
        <w:rPr>
          <w:b/>
          <w:color w:val="231F20"/>
        </w:rPr>
        <w:lastRenderedPageBreak/>
        <w:t xml:space="preserve">The Aberrant DNA Methylation Pattern Observed in Mouse is Mimicked by Human Nonmelanoma Skin Cancer. </w:t>
      </w:r>
      <w:r>
        <w:rPr>
          <w:color w:val="231F20"/>
        </w:rPr>
        <w:t>We used first</w:t>
      </w:r>
      <w:r>
        <w:rPr>
          <w:color w:val="231F20"/>
          <w:spacing w:val="40"/>
        </w:rPr>
        <w:t xml:space="preserve"> </w:t>
      </w:r>
      <w:r>
        <w:rPr>
          <w:color w:val="231F20"/>
        </w:rPr>
        <w:t>an</w:t>
      </w:r>
      <w:r>
        <w:rPr>
          <w:color w:val="231F20"/>
          <w:spacing w:val="-6"/>
        </w:rPr>
        <w:t xml:space="preserve"> </w:t>
      </w:r>
      <w:r>
        <w:rPr>
          <w:color w:val="231F20"/>
        </w:rPr>
        <w:t>equivalent</w:t>
      </w:r>
      <w:r>
        <w:rPr>
          <w:color w:val="231F20"/>
          <w:spacing w:val="-6"/>
        </w:rPr>
        <w:t xml:space="preserve"> </w:t>
      </w:r>
      <w:r>
        <w:rPr>
          <w:color w:val="231F20"/>
        </w:rPr>
        <w:t>cell</w:t>
      </w:r>
      <w:r>
        <w:rPr>
          <w:color w:val="231F20"/>
          <w:spacing w:val="-6"/>
        </w:rPr>
        <w:t xml:space="preserve"> </w:t>
      </w:r>
      <w:r>
        <w:rPr>
          <w:color w:val="231F20"/>
        </w:rPr>
        <w:t>line</w:t>
      </w:r>
      <w:r>
        <w:rPr>
          <w:color w:val="231F20"/>
          <w:spacing w:val="-6"/>
        </w:rPr>
        <w:t xml:space="preserve"> </w:t>
      </w:r>
      <w:r>
        <w:rPr>
          <w:color w:val="231F20"/>
        </w:rPr>
        <w:t>progression</w:t>
      </w:r>
      <w:r>
        <w:rPr>
          <w:color w:val="231F20"/>
          <w:spacing w:val="-6"/>
        </w:rPr>
        <w:t xml:space="preserve"> </w:t>
      </w:r>
      <w:r>
        <w:rPr>
          <w:color w:val="231F20"/>
        </w:rPr>
        <w:t>model</w:t>
      </w:r>
      <w:r>
        <w:rPr>
          <w:color w:val="231F20"/>
          <w:spacing w:val="-6"/>
        </w:rPr>
        <w:t xml:space="preserve"> </w:t>
      </w:r>
      <w:r>
        <w:rPr>
          <w:color w:val="231F20"/>
        </w:rPr>
        <w:t>in</w:t>
      </w:r>
      <w:r>
        <w:rPr>
          <w:color w:val="231F20"/>
          <w:spacing w:val="-6"/>
        </w:rPr>
        <w:t xml:space="preserve"> </w:t>
      </w:r>
      <w:r>
        <w:rPr>
          <w:color w:val="231F20"/>
        </w:rPr>
        <w:t>humans</w:t>
      </w:r>
      <w:r>
        <w:rPr>
          <w:color w:val="231F20"/>
          <w:spacing w:val="-6"/>
        </w:rPr>
        <w:t xml:space="preserve"> </w:t>
      </w:r>
      <w:r>
        <w:rPr>
          <w:color w:val="231F20"/>
        </w:rPr>
        <w:t>to</w:t>
      </w:r>
      <w:r>
        <w:rPr>
          <w:color w:val="231F20"/>
          <w:spacing w:val="-6"/>
        </w:rPr>
        <w:t xml:space="preserve"> </w:t>
      </w:r>
      <w:r>
        <w:rPr>
          <w:color w:val="231F20"/>
        </w:rPr>
        <w:t>the</w:t>
      </w:r>
      <w:r>
        <w:rPr>
          <w:color w:val="231F20"/>
          <w:spacing w:val="-6"/>
        </w:rPr>
        <w:t xml:space="preserve"> </w:t>
      </w:r>
      <w:r>
        <w:rPr>
          <w:color w:val="231F20"/>
        </w:rPr>
        <w:t>mouse</w:t>
      </w:r>
      <w:r>
        <w:rPr>
          <w:color w:val="231F20"/>
          <w:spacing w:val="-6"/>
        </w:rPr>
        <w:t xml:space="preserve"> </w:t>
      </w:r>
      <w:r>
        <w:rPr>
          <w:color w:val="231F20"/>
        </w:rPr>
        <w:t xml:space="preserve">skin multistage, consisting in three different stages of nonmelanoma hu- man skin cancer: normal skin, immortal nontumorigenic human ke- ratinocytes (HaCaT; Ref. 30), and high-grade malignant human epi- dermoid carcinoma cells (A431; Ref. 31). Similarly to the mouse, we found an increased loss of 5-methylcytosine DNA genomic content associated with the increased tumorigenic activity: HaCaT showed a 15% reduction of 5-methylcytosine DNA content </w:t>
      </w:r>
      <w:r>
        <w:rPr>
          <w:i/>
          <w:color w:val="231F20"/>
        </w:rPr>
        <w:t xml:space="preserve">versus </w:t>
      </w:r>
      <w:r>
        <w:rPr>
          <w:color w:val="231F20"/>
        </w:rPr>
        <w:t>the normal skin, whereas the aggressive cell line A431 displayed a 25% drop.</w:t>
      </w:r>
    </w:p>
    <w:p w14:paraId="6E12A814" w14:textId="77777777" w:rsidR="00B322A0" w:rsidRDefault="00000000">
      <w:pPr>
        <w:pStyle w:val="Textoindependiente"/>
        <w:spacing w:before="6" w:line="254" w:lineRule="auto"/>
        <w:ind w:right="38" w:firstLine="180"/>
        <w:jc w:val="both"/>
      </w:pPr>
      <w:r>
        <w:rPr>
          <w:color w:val="231F20"/>
        </w:rPr>
        <w:t>Related to CpG island methylation, we studied the methylation status of the four new identified methylation-positive genes in the mouse</w:t>
      </w:r>
      <w:r>
        <w:rPr>
          <w:color w:val="231F20"/>
          <w:spacing w:val="-10"/>
        </w:rPr>
        <w:t xml:space="preserve"> </w:t>
      </w:r>
      <w:r>
        <w:rPr>
          <w:color w:val="231F20"/>
        </w:rPr>
        <w:t>model</w:t>
      </w:r>
      <w:r>
        <w:rPr>
          <w:color w:val="231F20"/>
          <w:spacing w:val="-10"/>
        </w:rPr>
        <w:t xml:space="preserve"> </w:t>
      </w:r>
      <w:r>
        <w:rPr>
          <w:color w:val="231F20"/>
        </w:rPr>
        <w:t>(</w:t>
      </w:r>
      <w:r>
        <w:rPr>
          <w:i/>
          <w:color w:val="231F20"/>
        </w:rPr>
        <w:t>CSRP2</w:t>
      </w:r>
      <w:r>
        <w:rPr>
          <w:color w:val="231F20"/>
        </w:rPr>
        <w:t>,</w:t>
      </w:r>
      <w:r>
        <w:rPr>
          <w:color w:val="231F20"/>
          <w:spacing w:val="-10"/>
        </w:rPr>
        <w:t xml:space="preserve"> </w:t>
      </w:r>
      <w:r>
        <w:rPr>
          <w:i/>
          <w:color w:val="231F20"/>
        </w:rPr>
        <w:t>IGFBP3</w:t>
      </w:r>
      <w:r>
        <w:rPr>
          <w:color w:val="231F20"/>
        </w:rPr>
        <w:t>,</w:t>
      </w:r>
      <w:r>
        <w:rPr>
          <w:color w:val="231F20"/>
          <w:spacing w:val="-10"/>
        </w:rPr>
        <w:t xml:space="preserve"> </w:t>
      </w:r>
      <w:r>
        <w:rPr>
          <w:i/>
          <w:color w:val="231F20"/>
        </w:rPr>
        <w:t>CMKAR4</w:t>
      </w:r>
      <w:r>
        <w:rPr>
          <w:color w:val="231F20"/>
        </w:rPr>
        <w:t>,</w:t>
      </w:r>
      <w:r>
        <w:rPr>
          <w:color w:val="231F20"/>
          <w:spacing w:val="-10"/>
        </w:rPr>
        <w:t xml:space="preserve"> </w:t>
      </w:r>
      <w:r>
        <w:rPr>
          <w:color w:val="231F20"/>
        </w:rPr>
        <w:t>and</w:t>
      </w:r>
      <w:r>
        <w:rPr>
          <w:color w:val="231F20"/>
          <w:spacing w:val="-10"/>
        </w:rPr>
        <w:t xml:space="preserve"> </w:t>
      </w:r>
      <w:r>
        <w:rPr>
          <w:i/>
          <w:color w:val="231F20"/>
        </w:rPr>
        <w:t>PRDX1</w:t>
      </w:r>
      <w:r>
        <w:rPr>
          <w:color w:val="231F20"/>
        </w:rPr>
        <w:t>)</w:t>
      </w:r>
      <w:r>
        <w:rPr>
          <w:color w:val="231F20"/>
          <w:spacing w:val="-10"/>
        </w:rPr>
        <w:t xml:space="preserve"> </w:t>
      </w:r>
      <w:r>
        <w:rPr>
          <w:color w:val="231F20"/>
        </w:rPr>
        <w:t>in</w:t>
      </w:r>
      <w:r>
        <w:rPr>
          <w:color w:val="231F20"/>
          <w:spacing w:val="-10"/>
        </w:rPr>
        <w:t xml:space="preserve"> </w:t>
      </w:r>
      <w:r>
        <w:rPr>
          <w:color w:val="231F20"/>
        </w:rPr>
        <w:t>these</w:t>
      </w:r>
      <w:r>
        <w:rPr>
          <w:color w:val="231F20"/>
          <w:spacing w:val="-10"/>
        </w:rPr>
        <w:t xml:space="preserve"> </w:t>
      </w:r>
      <w:r>
        <w:rPr>
          <w:color w:val="231F20"/>
        </w:rPr>
        <w:t xml:space="preserve">three human skin samples. The last three genes were found hypermethyl- ated in the nonmelanoma skin cancer cell line A431, whereas all four were unmethylated in normal skin and nontumorigenic keratinocytes. </w:t>
      </w:r>
      <w:r>
        <w:rPr>
          <w:i/>
          <w:color w:val="231F20"/>
        </w:rPr>
        <w:t xml:space="preserve">CSRP2 </w:t>
      </w:r>
      <w:r>
        <w:rPr>
          <w:color w:val="231F20"/>
        </w:rPr>
        <w:t>was found unmethylated in A431. Most important, the pres- ence of aberrant CpG island methylation was not a cell culture phenomena, because we found CpG island promoter hypermethyla- tion of these genes in a significant proportion, from 58% to 12%, of primary nonmelanoma human skin tumors (</w:t>
      </w:r>
      <w:r>
        <w:rPr>
          <w:i/>
          <w:color w:val="231F20"/>
        </w:rPr>
        <w:t xml:space="preserve">n </w:t>
      </w:r>
      <w:r>
        <w:rPr>
          <w:rFonts w:ascii="Verdana"/>
          <w:color w:val="231F20"/>
        </w:rPr>
        <w:t xml:space="preserve">= </w:t>
      </w:r>
      <w:r>
        <w:rPr>
          <w:color w:val="231F20"/>
        </w:rPr>
        <w:t>26; Table 2).</w:t>
      </w:r>
    </w:p>
    <w:p w14:paraId="5CC6FB67" w14:textId="77777777" w:rsidR="00B322A0" w:rsidRDefault="00000000">
      <w:pPr>
        <w:spacing w:line="247" w:lineRule="auto"/>
        <w:ind w:left="103" w:right="38" w:firstLine="180"/>
        <w:jc w:val="both"/>
        <w:rPr>
          <w:sz w:val="18"/>
        </w:rPr>
      </w:pPr>
      <w:r>
        <w:rPr>
          <w:b/>
          <w:color w:val="231F20"/>
          <w:sz w:val="18"/>
        </w:rPr>
        <w:t>Methylation-Associated</w:t>
      </w:r>
      <w:r>
        <w:rPr>
          <w:b/>
          <w:color w:val="231F20"/>
          <w:spacing w:val="-8"/>
          <w:sz w:val="18"/>
        </w:rPr>
        <w:t xml:space="preserve"> </w:t>
      </w:r>
      <w:r>
        <w:rPr>
          <w:b/>
          <w:color w:val="231F20"/>
          <w:sz w:val="18"/>
        </w:rPr>
        <w:t>Silencing</w:t>
      </w:r>
      <w:r>
        <w:rPr>
          <w:b/>
          <w:color w:val="231F20"/>
          <w:spacing w:val="-8"/>
          <w:sz w:val="18"/>
        </w:rPr>
        <w:t xml:space="preserve"> </w:t>
      </w:r>
      <w:r>
        <w:rPr>
          <w:b/>
          <w:color w:val="231F20"/>
          <w:sz w:val="18"/>
        </w:rPr>
        <w:t>Outside</w:t>
      </w:r>
      <w:r>
        <w:rPr>
          <w:b/>
          <w:color w:val="231F20"/>
          <w:spacing w:val="-8"/>
          <w:sz w:val="18"/>
        </w:rPr>
        <w:t xml:space="preserve"> </w:t>
      </w:r>
      <w:r>
        <w:rPr>
          <w:b/>
          <w:color w:val="231F20"/>
          <w:sz w:val="18"/>
        </w:rPr>
        <w:t>Skin</w:t>
      </w:r>
      <w:r>
        <w:rPr>
          <w:b/>
          <w:color w:val="231F20"/>
          <w:spacing w:val="-8"/>
          <w:sz w:val="18"/>
        </w:rPr>
        <w:t xml:space="preserve"> </w:t>
      </w:r>
      <w:r>
        <w:rPr>
          <w:b/>
          <w:color w:val="231F20"/>
          <w:sz w:val="18"/>
        </w:rPr>
        <w:t>Tumors.</w:t>
      </w:r>
      <w:r>
        <w:rPr>
          <w:b/>
          <w:color w:val="231F20"/>
          <w:spacing w:val="24"/>
          <w:sz w:val="18"/>
        </w:rPr>
        <w:t xml:space="preserve"> </w:t>
      </w:r>
      <w:r>
        <w:rPr>
          <w:color w:val="231F20"/>
          <w:sz w:val="18"/>
        </w:rPr>
        <w:t>To</w:t>
      </w:r>
      <w:r>
        <w:rPr>
          <w:color w:val="231F20"/>
          <w:spacing w:val="-8"/>
          <w:sz w:val="18"/>
        </w:rPr>
        <w:t xml:space="preserve"> </w:t>
      </w:r>
      <w:r>
        <w:rPr>
          <w:color w:val="231F20"/>
          <w:sz w:val="18"/>
        </w:rPr>
        <w:t xml:space="preserve">ob- tain a comprehensive view of the relevance of the methylation status of </w:t>
      </w:r>
      <w:r>
        <w:rPr>
          <w:i/>
          <w:color w:val="231F20"/>
          <w:sz w:val="18"/>
        </w:rPr>
        <w:t xml:space="preserve">CSRP2, IGFBP3, CMKAR4, </w:t>
      </w:r>
      <w:r>
        <w:rPr>
          <w:color w:val="231F20"/>
          <w:sz w:val="18"/>
        </w:rPr>
        <w:t xml:space="preserve">and </w:t>
      </w:r>
      <w:r>
        <w:rPr>
          <w:i/>
          <w:color w:val="231F20"/>
          <w:sz w:val="18"/>
        </w:rPr>
        <w:t xml:space="preserve">PRDX1 </w:t>
      </w:r>
      <w:r>
        <w:rPr>
          <w:color w:val="231F20"/>
          <w:sz w:val="18"/>
        </w:rPr>
        <w:t>outside skin tumors, we screened a large panel of cancer cell lines (</w:t>
      </w:r>
      <w:r>
        <w:rPr>
          <w:i/>
          <w:color w:val="231F20"/>
          <w:sz w:val="18"/>
        </w:rPr>
        <w:t xml:space="preserve">n </w:t>
      </w:r>
      <w:r>
        <w:rPr>
          <w:rFonts w:ascii="Verdana"/>
          <w:color w:val="231F20"/>
          <w:sz w:val="18"/>
        </w:rPr>
        <w:t xml:space="preserve">= </w:t>
      </w:r>
      <w:r>
        <w:rPr>
          <w:color w:val="231F20"/>
          <w:sz w:val="18"/>
        </w:rPr>
        <w:t>28) and primary tumors (</w:t>
      </w:r>
      <w:r>
        <w:rPr>
          <w:i/>
          <w:color w:val="231F20"/>
          <w:sz w:val="18"/>
        </w:rPr>
        <w:t xml:space="preserve">n </w:t>
      </w:r>
      <w:r>
        <w:rPr>
          <w:rFonts w:ascii="Verdana"/>
          <w:color w:val="231F20"/>
          <w:sz w:val="18"/>
        </w:rPr>
        <w:t xml:space="preserve">= </w:t>
      </w:r>
      <w:r>
        <w:rPr>
          <w:color w:val="231F20"/>
          <w:sz w:val="18"/>
        </w:rPr>
        <w:t>83) from a wide variety of cell types.</w:t>
      </w:r>
    </w:p>
    <w:p w14:paraId="58A78D3C" w14:textId="77777777" w:rsidR="00B322A0" w:rsidRDefault="00000000">
      <w:pPr>
        <w:pStyle w:val="Textoindependiente"/>
        <w:spacing w:before="1" w:line="254" w:lineRule="auto"/>
        <w:ind w:right="38" w:firstLine="180"/>
        <w:jc w:val="both"/>
      </w:pPr>
      <w:r>
        <w:rPr>
          <w:color w:val="231F20"/>
        </w:rPr>
        <w:t xml:space="preserve">All four of the identified methylation-positive genes in the mouse model were methylated in a significant proportion of human cancer cell lines (Table 2; Supplemental Data). In all of the cases, the presence of methylation was associated with gene silencing, and reactivation by 5-aza-2-deoxycytidine was demonstrated. The illus- trative case for </w:t>
      </w:r>
      <w:r>
        <w:rPr>
          <w:i/>
          <w:color w:val="231F20"/>
        </w:rPr>
        <w:t xml:space="preserve">CSRP2 </w:t>
      </w:r>
      <w:r>
        <w:rPr>
          <w:color w:val="231F20"/>
        </w:rPr>
        <w:t xml:space="preserve">with bisulfite genomic sequencing, methyla- tion-specific PCR analysis and expression study is shown in Fig. 5. CpG island promoter hypermethylation of </w:t>
      </w:r>
      <w:r>
        <w:rPr>
          <w:i/>
          <w:color w:val="231F20"/>
        </w:rPr>
        <w:t xml:space="preserve">IGFBP3 </w:t>
      </w:r>
      <w:r>
        <w:rPr>
          <w:color w:val="231F20"/>
        </w:rPr>
        <w:t>was the most common event, being present in 60% (17 of 28) of cancer cell lines from different cell types (Table 2).</w:t>
      </w:r>
    </w:p>
    <w:p w14:paraId="2EE22970" w14:textId="77777777" w:rsidR="00B322A0" w:rsidRDefault="00000000">
      <w:pPr>
        <w:pStyle w:val="Textoindependiente"/>
        <w:spacing w:before="6" w:line="254" w:lineRule="auto"/>
        <w:ind w:right="38" w:firstLine="180"/>
        <w:jc w:val="both"/>
      </w:pPr>
      <w:r>
        <w:rPr>
          <w:color w:val="231F20"/>
        </w:rPr>
        <w:t xml:space="preserve">We tested the relevance of these aberrant methylation lesions not only in </w:t>
      </w:r>
      <w:r>
        <w:rPr>
          <w:i/>
          <w:color w:val="231F20"/>
        </w:rPr>
        <w:t xml:space="preserve">in vitro </w:t>
      </w:r>
      <w:r>
        <w:rPr>
          <w:color w:val="231F20"/>
        </w:rPr>
        <w:t xml:space="preserve">cultured cancer cells but also </w:t>
      </w:r>
      <w:r>
        <w:rPr>
          <w:i/>
          <w:color w:val="231F20"/>
        </w:rPr>
        <w:t xml:space="preserve">in vivo </w:t>
      </w:r>
      <w:r>
        <w:rPr>
          <w:color w:val="231F20"/>
        </w:rPr>
        <w:t>in samples taken from cancer patients. For this purpose we analyzed the CpG island methylation status of the four selected candidate genes (</w:t>
      </w:r>
      <w:r>
        <w:rPr>
          <w:i/>
          <w:color w:val="231F20"/>
        </w:rPr>
        <w:t>CSRP2</w:t>
      </w:r>
      <w:r>
        <w:rPr>
          <w:color w:val="231F20"/>
        </w:rPr>
        <w:t xml:space="preserve">, </w:t>
      </w:r>
      <w:r>
        <w:rPr>
          <w:i/>
          <w:color w:val="231F20"/>
        </w:rPr>
        <w:t>IGFBP3</w:t>
      </w:r>
      <w:r>
        <w:rPr>
          <w:color w:val="231F20"/>
        </w:rPr>
        <w:t>,</w:t>
      </w:r>
      <w:r>
        <w:rPr>
          <w:color w:val="231F20"/>
          <w:spacing w:val="-2"/>
        </w:rPr>
        <w:t xml:space="preserve"> </w:t>
      </w:r>
      <w:r>
        <w:rPr>
          <w:i/>
          <w:color w:val="231F20"/>
        </w:rPr>
        <w:t>CMKAR4</w:t>
      </w:r>
      <w:r>
        <w:rPr>
          <w:color w:val="231F20"/>
        </w:rPr>
        <w:t xml:space="preserve">, and </w:t>
      </w:r>
      <w:r>
        <w:rPr>
          <w:i/>
          <w:color w:val="231F20"/>
        </w:rPr>
        <w:t>PRDX1</w:t>
      </w:r>
      <w:r>
        <w:rPr>
          <w:color w:val="231F20"/>
        </w:rPr>
        <w:t>) in human primary tumors (</w:t>
      </w:r>
      <w:r>
        <w:rPr>
          <w:i/>
          <w:color w:val="231F20"/>
        </w:rPr>
        <w:t xml:space="preserve">n </w:t>
      </w:r>
      <w:r>
        <w:rPr>
          <w:rFonts w:ascii="Verdana"/>
          <w:color w:val="231F20"/>
        </w:rPr>
        <w:t>=</w:t>
      </w:r>
      <w:r>
        <w:rPr>
          <w:rFonts w:ascii="Verdana"/>
          <w:color w:val="231F20"/>
          <w:spacing w:val="-16"/>
        </w:rPr>
        <w:t xml:space="preserve"> </w:t>
      </w:r>
      <w:r>
        <w:rPr>
          <w:color w:val="231F20"/>
        </w:rPr>
        <w:t xml:space="preserve">83), including all of the major common cell types (breast, colon, lung, brain, head and neck cancer, and leukemia; Table 2; Supplemental Data). </w:t>
      </w:r>
      <w:r>
        <w:rPr>
          <w:i/>
          <w:color w:val="231F20"/>
        </w:rPr>
        <w:t xml:space="preserve">CSRP2, IGFBP3, CMKAR4, </w:t>
      </w:r>
      <w:r>
        <w:rPr>
          <w:color w:val="231F20"/>
        </w:rPr>
        <w:t xml:space="preserve">and </w:t>
      </w:r>
      <w:r>
        <w:rPr>
          <w:i/>
          <w:color w:val="231F20"/>
        </w:rPr>
        <w:t xml:space="preserve">PRDX1 </w:t>
      </w:r>
      <w:r>
        <w:rPr>
          <w:color w:val="231F20"/>
        </w:rPr>
        <w:t xml:space="preserve">were found signifi- cantly hypermethylated across the spectrum of primary tumors. From a quantitative standpoint, </w:t>
      </w:r>
      <w:r>
        <w:rPr>
          <w:i/>
          <w:color w:val="231F20"/>
        </w:rPr>
        <w:t xml:space="preserve">IGFBP3 </w:t>
      </w:r>
      <w:r>
        <w:rPr>
          <w:color w:val="231F20"/>
        </w:rPr>
        <w:t>CpG island hypermethylation was the</w:t>
      </w:r>
      <w:r>
        <w:rPr>
          <w:color w:val="231F20"/>
          <w:spacing w:val="-2"/>
        </w:rPr>
        <w:t xml:space="preserve"> </w:t>
      </w:r>
      <w:r>
        <w:rPr>
          <w:color w:val="231F20"/>
        </w:rPr>
        <w:t>most</w:t>
      </w:r>
      <w:r>
        <w:rPr>
          <w:color w:val="231F20"/>
          <w:spacing w:val="-2"/>
        </w:rPr>
        <w:t xml:space="preserve"> </w:t>
      </w:r>
      <w:r>
        <w:rPr>
          <w:color w:val="231F20"/>
        </w:rPr>
        <w:t>common</w:t>
      </w:r>
      <w:r>
        <w:rPr>
          <w:color w:val="231F20"/>
          <w:spacing w:val="-2"/>
        </w:rPr>
        <w:t xml:space="preserve"> </w:t>
      </w:r>
      <w:r>
        <w:rPr>
          <w:color w:val="231F20"/>
        </w:rPr>
        <w:t>epigenetic</w:t>
      </w:r>
      <w:r>
        <w:rPr>
          <w:color w:val="231F20"/>
          <w:spacing w:val="-2"/>
        </w:rPr>
        <w:t xml:space="preserve"> </w:t>
      </w:r>
      <w:r>
        <w:rPr>
          <w:color w:val="231F20"/>
        </w:rPr>
        <w:t>alteration,</w:t>
      </w:r>
      <w:r>
        <w:rPr>
          <w:color w:val="231F20"/>
          <w:spacing w:val="-2"/>
        </w:rPr>
        <w:t xml:space="preserve"> </w:t>
      </w:r>
      <w:r>
        <w:rPr>
          <w:color w:val="231F20"/>
        </w:rPr>
        <w:t>similar</w:t>
      </w:r>
      <w:r>
        <w:rPr>
          <w:color w:val="231F20"/>
          <w:spacing w:val="-2"/>
        </w:rPr>
        <w:t xml:space="preserve"> </w:t>
      </w:r>
      <w:r>
        <w:rPr>
          <w:color w:val="231F20"/>
        </w:rPr>
        <w:t>to</w:t>
      </w:r>
      <w:r>
        <w:rPr>
          <w:color w:val="231F20"/>
          <w:spacing w:val="-2"/>
        </w:rPr>
        <w:t xml:space="preserve"> </w:t>
      </w:r>
      <w:r>
        <w:rPr>
          <w:color w:val="231F20"/>
        </w:rPr>
        <w:t>the</w:t>
      </w:r>
      <w:r>
        <w:rPr>
          <w:color w:val="231F20"/>
          <w:spacing w:val="-2"/>
        </w:rPr>
        <w:t xml:space="preserve"> </w:t>
      </w:r>
      <w:r>
        <w:rPr>
          <w:color w:val="231F20"/>
        </w:rPr>
        <w:t>cell</w:t>
      </w:r>
      <w:r>
        <w:rPr>
          <w:color w:val="231F20"/>
          <w:spacing w:val="-2"/>
        </w:rPr>
        <w:t xml:space="preserve"> </w:t>
      </w:r>
      <w:r>
        <w:rPr>
          <w:color w:val="231F20"/>
        </w:rPr>
        <w:t>lines,</w:t>
      </w:r>
      <w:r>
        <w:rPr>
          <w:color w:val="231F20"/>
          <w:spacing w:val="-2"/>
        </w:rPr>
        <w:t xml:space="preserve"> </w:t>
      </w:r>
      <w:r>
        <w:rPr>
          <w:color w:val="231F20"/>
        </w:rPr>
        <w:t xml:space="preserve">being found in 57% (37 of 65) of all of the primary malignancies (Table 2). Most interesting, a tumor type-specific profile was observed, for example the chemokine inhibitor </w:t>
      </w:r>
      <w:r>
        <w:rPr>
          <w:i/>
          <w:color w:val="231F20"/>
        </w:rPr>
        <w:t xml:space="preserve">CMKAR4 </w:t>
      </w:r>
      <w:r>
        <w:rPr>
          <w:color w:val="231F20"/>
        </w:rPr>
        <w:t>was methylated in leuke- mia but not in mammary or colon tumors (Supplemental Data).</w:t>
      </w:r>
    </w:p>
    <w:p w14:paraId="355C8415" w14:textId="77777777" w:rsidR="00B322A0" w:rsidRDefault="00000000">
      <w:pPr>
        <w:spacing w:before="7" w:after="25"/>
        <w:rPr>
          <w:sz w:val="19"/>
        </w:rPr>
      </w:pPr>
      <w:r>
        <w:br w:type="column"/>
      </w:r>
    </w:p>
    <w:p w14:paraId="3943DDAA" w14:textId="77777777" w:rsidR="00B322A0" w:rsidRDefault="00000000">
      <w:pPr>
        <w:pStyle w:val="Textoindependiente"/>
        <w:rPr>
          <w:sz w:val="20"/>
        </w:rPr>
      </w:pPr>
      <w:r>
        <w:rPr>
          <w:noProof/>
          <w:sz w:val="20"/>
        </w:rPr>
        <w:drawing>
          <wp:inline distT="0" distB="0" distL="0" distR="0" wp14:anchorId="2D66157E" wp14:editId="40535CEA">
            <wp:extent cx="3209104" cy="4730496"/>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7" cstate="print"/>
                    <a:stretch>
                      <a:fillRect/>
                    </a:stretch>
                  </pic:blipFill>
                  <pic:spPr>
                    <a:xfrm>
                      <a:off x="0" y="0"/>
                      <a:ext cx="3209104" cy="4730496"/>
                    </a:xfrm>
                    <a:prstGeom prst="rect">
                      <a:avLst/>
                    </a:prstGeom>
                  </pic:spPr>
                </pic:pic>
              </a:graphicData>
            </a:graphic>
          </wp:inline>
        </w:drawing>
      </w:r>
    </w:p>
    <w:p w14:paraId="7B9B99E5" w14:textId="77777777" w:rsidR="00B322A0" w:rsidRDefault="00000000">
      <w:pPr>
        <w:spacing w:before="79"/>
        <w:ind w:left="103" w:right="114" w:firstLine="180"/>
        <w:jc w:val="both"/>
        <w:rPr>
          <w:sz w:val="14"/>
        </w:rPr>
      </w:pPr>
      <w:r>
        <w:rPr>
          <w:color w:val="231F20"/>
          <w:sz w:val="14"/>
        </w:rPr>
        <w:t>Fig. 5. Examples of methylation-associated silencing of the corresponding human</w:t>
      </w:r>
      <w:r>
        <w:rPr>
          <w:color w:val="231F20"/>
          <w:spacing w:val="40"/>
          <w:sz w:val="14"/>
        </w:rPr>
        <w:t xml:space="preserve"> </w:t>
      </w:r>
      <w:r>
        <w:rPr>
          <w:color w:val="231F20"/>
          <w:sz w:val="14"/>
        </w:rPr>
        <w:t>genes</w:t>
      </w:r>
      <w:r>
        <w:rPr>
          <w:color w:val="231F20"/>
          <w:spacing w:val="-2"/>
          <w:sz w:val="14"/>
        </w:rPr>
        <w:t xml:space="preserve"> </w:t>
      </w:r>
      <w:r>
        <w:rPr>
          <w:color w:val="231F20"/>
          <w:sz w:val="14"/>
        </w:rPr>
        <w:t>derived</w:t>
      </w:r>
      <w:r>
        <w:rPr>
          <w:color w:val="231F20"/>
          <w:spacing w:val="-2"/>
          <w:sz w:val="14"/>
        </w:rPr>
        <w:t xml:space="preserve"> </w:t>
      </w:r>
      <w:r>
        <w:rPr>
          <w:color w:val="231F20"/>
          <w:sz w:val="14"/>
        </w:rPr>
        <w:t>from</w:t>
      </w:r>
      <w:r>
        <w:rPr>
          <w:color w:val="231F20"/>
          <w:spacing w:val="-2"/>
          <w:sz w:val="14"/>
        </w:rPr>
        <w:t xml:space="preserve"> </w:t>
      </w:r>
      <w:r>
        <w:rPr>
          <w:color w:val="231F20"/>
          <w:sz w:val="14"/>
        </w:rPr>
        <w:t>the</w:t>
      </w:r>
      <w:r>
        <w:rPr>
          <w:color w:val="231F20"/>
          <w:spacing w:val="-2"/>
          <w:sz w:val="14"/>
        </w:rPr>
        <w:t xml:space="preserve"> </w:t>
      </w:r>
      <w:r>
        <w:rPr>
          <w:color w:val="231F20"/>
          <w:sz w:val="14"/>
        </w:rPr>
        <w:t>mouse</w:t>
      </w:r>
      <w:r>
        <w:rPr>
          <w:color w:val="231F20"/>
          <w:spacing w:val="-2"/>
          <w:sz w:val="14"/>
        </w:rPr>
        <w:t xml:space="preserve"> </w:t>
      </w:r>
      <w:r>
        <w:rPr>
          <w:color w:val="231F20"/>
          <w:sz w:val="14"/>
        </w:rPr>
        <w:t>cDNA</w:t>
      </w:r>
      <w:r>
        <w:rPr>
          <w:color w:val="231F20"/>
          <w:spacing w:val="-2"/>
          <w:sz w:val="14"/>
        </w:rPr>
        <w:t xml:space="preserve"> </w:t>
      </w:r>
      <w:r>
        <w:rPr>
          <w:color w:val="231F20"/>
          <w:sz w:val="14"/>
        </w:rPr>
        <w:t>microarray</w:t>
      </w:r>
      <w:r>
        <w:rPr>
          <w:color w:val="231F20"/>
          <w:spacing w:val="-2"/>
          <w:sz w:val="14"/>
        </w:rPr>
        <w:t xml:space="preserve"> </w:t>
      </w:r>
      <w:r>
        <w:rPr>
          <w:color w:val="231F20"/>
          <w:sz w:val="14"/>
        </w:rPr>
        <w:t>approach.</w:t>
      </w:r>
      <w:r>
        <w:rPr>
          <w:color w:val="231F20"/>
          <w:spacing w:val="-1"/>
          <w:sz w:val="14"/>
        </w:rPr>
        <w:t xml:space="preserve"> </w:t>
      </w:r>
      <w:r>
        <w:rPr>
          <w:i/>
          <w:color w:val="231F20"/>
          <w:sz w:val="14"/>
        </w:rPr>
        <w:t>A</w:t>
      </w:r>
      <w:r>
        <w:rPr>
          <w:color w:val="231F20"/>
          <w:sz w:val="14"/>
        </w:rPr>
        <w:t>,</w:t>
      </w:r>
      <w:r>
        <w:rPr>
          <w:color w:val="231F20"/>
          <w:spacing w:val="-2"/>
          <w:sz w:val="14"/>
        </w:rPr>
        <w:t xml:space="preserve"> </w:t>
      </w:r>
      <w:r>
        <w:rPr>
          <w:color w:val="231F20"/>
          <w:sz w:val="14"/>
        </w:rPr>
        <w:t>bisulfite</w:t>
      </w:r>
      <w:r>
        <w:rPr>
          <w:color w:val="231F20"/>
          <w:spacing w:val="-2"/>
          <w:sz w:val="14"/>
        </w:rPr>
        <w:t xml:space="preserve"> </w:t>
      </w:r>
      <w:r>
        <w:rPr>
          <w:color w:val="231F20"/>
          <w:sz w:val="14"/>
        </w:rPr>
        <w:t>genomic</w:t>
      </w:r>
      <w:r>
        <w:rPr>
          <w:color w:val="231F20"/>
          <w:spacing w:val="-2"/>
          <w:sz w:val="14"/>
        </w:rPr>
        <w:t xml:space="preserve"> </w:t>
      </w:r>
      <w:r>
        <w:rPr>
          <w:color w:val="231F20"/>
          <w:sz w:val="14"/>
        </w:rPr>
        <w:t>sequenc-</w:t>
      </w:r>
      <w:r>
        <w:rPr>
          <w:color w:val="231F20"/>
          <w:spacing w:val="40"/>
          <w:sz w:val="14"/>
        </w:rPr>
        <w:t xml:space="preserve"> </w:t>
      </w:r>
      <w:r>
        <w:rPr>
          <w:color w:val="231F20"/>
          <w:sz w:val="14"/>
        </w:rPr>
        <w:t xml:space="preserve">ing of the </w:t>
      </w:r>
      <w:r>
        <w:rPr>
          <w:i/>
          <w:color w:val="231F20"/>
          <w:sz w:val="14"/>
        </w:rPr>
        <w:t xml:space="preserve">CSRP2 </w:t>
      </w:r>
      <w:r>
        <w:rPr>
          <w:color w:val="231F20"/>
          <w:sz w:val="14"/>
        </w:rPr>
        <w:t>CpG island in human normal skin (</w:t>
      </w:r>
      <w:r>
        <w:rPr>
          <w:i/>
          <w:color w:val="231F20"/>
          <w:sz w:val="14"/>
        </w:rPr>
        <w:t>NS</w:t>
      </w:r>
      <w:r>
        <w:rPr>
          <w:color w:val="231F20"/>
          <w:sz w:val="14"/>
        </w:rPr>
        <w:t>), normal lymphocytes (</w:t>
      </w:r>
      <w:r>
        <w:rPr>
          <w:i/>
          <w:color w:val="231F20"/>
          <w:sz w:val="14"/>
        </w:rPr>
        <w:t>NL</w:t>
      </w:r>
      <w:r>
        <w:rPr>
          <w:color w:val="231F20"/>
          <w:sz w:val="14"/>
        </w:rPr>
        <w:t>), and</w:t>
      </w:r>
      <w:r>
        <w:rPr>
          <w:color w:val="231F20"/>
          <w:spacing w:val="40"/>
          <w:sz w:val="14"/>
        </w:rPr>
        <w:t xml:space="preserve"> </w:t>
      </w:r>
      <w:r>
        <w:rPr>
          <w:color w:val="231F20"/>
          <w:sz w:val="14"/>
        </w:rPr>
        <w:t xml:space="preserve">different cancer cell lines. </w:t>
      </w:r>
      <w:r>
        <w:rPr>
          <w:i/>
          <w:color w:val="231F20"/>
          <w:sz w:val="14"/>
        </w:rPr>
        <w:t>B</w:t>
      </w:r>
      <w:r>
        <w:rPr>
          <w:color w:val="231F20"/>
          <w:sz w:val="14"/>
        </w:rPr>
        <w:t xml:space="preserve">, methylation specific-PCR analysis of the </w:t>
      </w:r>
      <w:r>
        <w:rPr>
          <w:i/>
          <w:color w:val="231F20"/>
          <w:sz w:val="14"/>
        </w:rPr>
        <w:t xml:space="preserve">CSRP2 </w:t>
      </w:r>
      <w:r>
        <w:rPr>
          <w:color w:val="231F20"/>
          <w:sz w:val="14"/>
        </w:rPr>
        <w:t>and</w:t>
      </w:r>
      <w:r>
        <w:rPr>
          <w:color w:val="231F20"/>
          <w:spacing w:val="40"/>
          <w:sz w:val="14"/>
        </w:rPr>
        <w:t xml:space="preserve"> </w:t>
      </w:r>
      <w:r>
        <w:rPr>
          <w:i/>
          <w:color w:val="231F20"/>
          <w:sz w:val="14"/>
        </w:rPr>
        <w:t>IGFBP3</w:t>
      </w:r>
      <w:r>
        <w:rPr>
          <w:i/>
          <w:color w:val="231F20"/>
          <w:spacing w:val="-5"/>
          <w:sz w:val="14"/>
        </w:rPr>
        <w:t xml:space="preserve"> </w:t>
      </w:r>
      <w:r>
        <w:rPr>
          <w:color w:val="231F20"/>
          <w:sz w:val="14"/>
        </w:rPr>
        <w:t>CpG</w:t>
      </w:r>
      <w:r>
        <w:rPr>
          <w:color w:val="231F20"/>
          <w:spacing w:val="-5"/>
          <w:sz w:val="14"/>
        </w:rPr>
        <w:t xml:space="preserve"> </w:t>
      </w:r>
      <w:r>
        <w:rPr>
          <w:color w:val="231F20"/>
          <w:sz w:val="14"/>
        </w:rPr>
        <w:t>islands</w:t>
      </w:r>
      <w:r>
        <w:rPr>
          <w:color w:val="231F20"/>
          <w:spacing w:val="-5"/>
          <w:sz w:val="14"/>
        </w:rPr>
        <w:t xml:space="preserve"> </w:t>
      </w:r>
      <w:r>
        <w:rPr>
          <w:color w:val="231F20"/>
          <w:sz w:val="14"/>
        </w:rPr>
        <w:t>in</w:t>
      </w:r>
      <w:r>
        <w:rPr>
          <w:color w:val="231F20"/>
          <w:spacing w:val="-5"/>
          <w:sz w:val="14"/>
        </w:rPr>
        <w:t xml:space="preserve"> </w:t>
      </w:r>
      <w:r>
        <w:rPr>
          <w:color w:val="231F20"/>
          <w:sz w:val="14"/>
        </w:rPr>
        <w:t>human</w:t>
      </w:r>
      <w:r>
        <w:rPr>
          <w:color w:val="231F20"/>
          <w:spacing w:val="-5"/>
          <w:sz w:val="14"/>
        </w:rPr>
        <w:t xml:space="preserve"> </w:t>
      </w:r>
      <w:r>
        <w:rPr>
          <w:color w:val="231F20"/>
          <w:sz w:val="14"/>
        </w:rPr>
        <w:t>normal</w:t>
      </w:r>
      <w:r>
        <w:rPr>
          <w:color w:val="231F20"/>
          <w:spacing w:val="-5"/>
          <w:sz w:val="14"/>
        </w:rPr>
        <w:t xml:space="preserve"> </w:t>
      </w:r>
      <w:r>
        <w:rPr>
          <w:color w:val="231F20"/>
          <w:sz w:val="14"/>
        </w:rPr>
        <w:t>skin</w:t>
      </w:r>
      <w:r>
        <w:rPr>
          <w:color w:val="231F20"/>
          <w:spacing w:val="-5"/>
          <w:sz w:val="14"/>
        </w:rPr>
        <w:t xml:space="preserve"> </w:t>
      </w:r>
      <w:r>
        <w:rPr>
          <w:color w:val="231F20"/>
          <w:sz w:val="14"/>
        </w:rPr>
        <w:t>(</w:t>
      </w:r>
      <w:r>
        <w:rPr>
          <w:i/>
          <w:color w:val="231F20"/>
          <w:sz w:val="14"/>
        </w:rPr>
        <w:t>NS</w:t>
      </w:r>
      <w:r>
        <w:rPr>
          <w:color w:val="231F20"/>
          <w:sz w:val="14"/>
        </w:rPr>
        <w:t>),</w:t>
      </w:r>
      <w:r>
        <w:rPr>
          <w:color w:val="231F20"/>
          <w:spacing w:val="-5"/>
          <w:sz w:val="14"/>
        </w:rPr>
        <w:t xml:space="preserve"> </w:t>
      </w:r>
      <w:r>
        <w:rPr>
          <w:color w:val="231F20"/>
          <w:sz w:val="14"/>
        </w:rPr>
        <w:t>normal</w:t>
      </w:r>
      <w:r>
        <w:rPr>
          <w:color w:val="231F20"/>
          <w:spacing w:val="-5"/>
          <w:sz w:val="14"/>
        </w:rPr>
        <w:t xml:space="preserve"> </w:t>
      </w:r>
      <w:r>
        <w:rPr>
          <w:color w:val="231F20"/>
          <w:sz w:val="14"/>
        </w:rPr>
        <w:t>lymphocytes</w:t>
      </w:r>
      <w:r>
        <w:rPr>
          <w:color w:val="231F20"/>
          <w:spacing w:val="-5"/>
          <w:sz w:val="14"/>
        </w:rPr>
        <w:t xml:space="preserve"> </w:t>
      </w:r>
      <w:r>
        <w:rPr>
          <w:color w:val="231F20"/>
          <w:sz w:val="14"/>
        </w:rPr>
        <w:t>(</w:t>
      </w:r>
      <w:r>
        <w:rPr>
          <w:i/>
          <w:color w:val="231F20"/>
          <w:sz w:val="14"/>
        </w:rPr>
        <w:t>NL</w:t>
      </w:r>
      <w:r>
        <w:rPr>
          <w:color w:val="231F20"/>
          <w:sz w:val="14"/>
        </w:rPr>
        <w:t>),</w:t>
      </w:r>
      <w:r>
        <w:rPr>
          <w:color w:val="231F20"/>
          <w:spacing w:val="-5"/>
          <w:sz w:val="14"/>
        </w:rPr>
        <w:t xml:space="preserve"> </w:t>
      </w:r>
      <w:r>
        <w:rPr>
          <w:color w:val="231F20"/>
          <w:sz w:val="14"/>
        </w:rPr>
        <w:t>and</w:t>
      </w:r>
      <w:r>
        <w:rPr>
          <w:color w:val="231F20"/>
          <w:spacing w:val="-5"/>
          <w:sz w:val="14"/>
        </w:rPr>
        <w:t xml:space="preserve"> </w:t>
      </w:r>
      <w:r>
        <w:rPr>
          <w:color w:val="231F20"/>
          <w:sz w:val="14"/>
        </w:rPr>
        <w:t>different</w:t>
      </w:r>
      <w:r>
        <w:rPr>
          <w:color w:val="231F20"/>
          <w:spacing w:val="40"/>
          <w:sz w:val="14"/>
        </w:rPr>
        <w:t xml:space="preserve"> </w:t>
      </w:r>
      <w:r>
        <w:rPr>
          <w:color w:val="231F20"/>
          <w:sz w:val="14"/>
        </w:rPr>
        <w:t xml:space="preserve">cancer cell lines. </w:t>
      </w:r>
      <w:r>
        <w:rPr>
          <w:i/>
          <w:color w:val="231F20"/>
          <w:sz w:val="14"/>
        </w:rPr>
        <w:t xml:space="preserve">C, </w:t>
      </w:r>
      <w:r>
        <w:rPr>
          <w:color w:val="231F20"/>
          <w:sz w:val="14"/>
        </w:rPr>
        <w:t xml:space="preserve">reactivation of </w:t>
      </w:r>
      <w:r>
        <w:rPr>
          <w:i/>
          <w:color w:val="231F20"/>
          <w:sz w:val="14"/>
        </w:rPr>
        <w:t xml:space="preserve">CSRP2 </w:t>
      </w:r>
      <w:r>
        <w:rPr>
          <w:color w:val="231F20"/>
          <w:sz w:val="14"/>
        </w:rPr>
        <w:t>expression in a hypermethylated cell line by</w:t>
      </w:r>
      <w:r>
        <w:rPr>
          <w:color w:val="231F20"/>
          <w:spacing w:val="40"/>
          <w:sz w:val="14"/>
        </w:rPr>
        <w:t xml:space="preserve"> </w:t>
      </w:r>
      <w:r>
        <w:rPr>
          <w:color w:val="231F20"/>
          <w:sz w:val="14"/>
        </w:rPr>
        <w:t xml:space="preserve">treatment with the demethylating drug. </w:t>
      </w:r>
      <w:r>
        <w:rPr>
          <w:i/>
          <w:color w:val="231F20"/>
          <w:sz w:val="14"/>
        </w:rPr>
        <w:t xml:space="preserve">D, </w:t>
      </w:r>
      <w:r>
        <w:rPr>
          <w:color w:val="231F20"/>
          <w:sz w:val="14"/>
        </w:rPr>
        <w:t xml:space="preserve">colony formation assay for </w:t>
      </w:r>
      <w:r>
        <w:rPr>
          <w:i/>
          <w:color w:val="231F20"/>
          <w:sz w:val="14"/>
        </w:rPr>
        <w:t>CSRP2</w:t>
      </w:r>
      <w:r>
        <w:rPr>
          <w:color w:val="231F20"/>
          <w:sz w:val="14"/>
        </w:rPr>
        <w:t xml:space="preserve">. </w:t>
      </w:r>
      <w:r>
        <w:rPr>
          <w:i/>
          <w:color w:val="231F20"/>
          <w:sz w:val="14"/>
        </w:rPr>
        <w:t>CSRP2</w:t>
      </w:r>
      <w:r>
        <w:rPr>
          <w:i/>
          <w:color w:val="231F20"/>
          <w:spacing w:val="40"/>
          <w:sz w:val="14"/>
        </w:rPr>
        <w:t xml:space="preserve"> </w:t>
      </w:r>
      <w:r>
        <w:rPr>
          <w:color w:val="231F20"/>
          <w:sz w:val="14"/>
        </w:rPr>
        <w:t>methylation-silenced</w:t>
      </w:r>
      <w:r>
        <w:rPr>
          <w:color w:val="231F20"/>
          <w:spacing w:val="-7"/>
          <w:sz w:val="14"/>
        </w:rPr>
        <w:t xml:space="preserve"> </w:t>
      </w:r>
      <w:r>
        <w:rPr>
          <w:color w:val="231F20"/>
          <w:sz w:val="14"/>
        </w:rPr>
        <w:t>cells</w:t>
      </w:r>
      <w:r>
        <w:rPr>
          <w:color w:val="231F20"/>
          <w:spacing w:val="-7"/>
          <w:sz w:val="14"/>
        </w:rPr>
        <w:t xml:space="preserve"> </w:t>
      </w:r>
      <w:r>
        <w:rPr>
          <w:color w:val="231F20"/>
          <w:sz w:val="14"/>
        </w:rPr>
        <w:t>(T47D)</w:t>
      </w:r>
      <w:r>
        <w:rPr>
          <w:color w:val="231F20"/>
          <w:spacing w:val="-7"/>
          <w:sz w:val="14"/>
        </w:rPr>
        <w:t xml:space="preserve"> </w:t>
      </w:r>
      <w:r>
        <w:rPr>
          <w:color w:val="231F20"/>
          <w:sz w:val="14"/>
        </w:rPr>
        <w:t>were</w:t>
      </w:r>
      <w:r>
        <w:rPr>
          <w:color w:val="231F20"/>
          <w:spacing w:val="-7"/>
          <w:sz w:val="14"/>
        </w:rPr>
        <w:t xml:space="preserve"> </w:t>
      </w:r>
      <w:r>
        <w:rPr>
          <w:color w:val="231F20"/>
          <w:sz w:val="14"/>
        </w:rPr>
        <w:t>transfected</w:t>
      </w:r>
      <w:r>
        <w:rPr>
          <w:color w:val="231F20"/>
          <w:spacing w:val="-7"/>
          <w:sz w:val="14"/>
        </w:rPr>
        <w:t xml:space="preserve"> </w:t>
      </w:r>
      <w:r>
        <w:rPr>
          <w:color w:val="231F20"/>
          <w:sz w:val="14"/>
        </w:rPr>
        <w:t>with</w:t>
      </w:r>
      <w:r>
        <w:rPr>
          <w:color w:val="231F20"/>
          <w:spacing w:val="-7"/>
          <w:sz w:val="14"/>
        </w:rPr>
        <w:t xml:space="preserve"> </w:t>
      </w:r>
      <w:r>
        <w:rPr>
          <w:color w:val="231F20"/>
          <w:sz w:val="14"/>
        </w:rPr>
        <w:t>a</w:t>
      </w:r>
      <w:r>
        <w:rPr>
          <w:color w:val="231F20"/>
          <w:spacing w:val="-6"/>
          <w:sz w:val="14"/>
        </w:rPr>
        <w:t xml:space="preserve"> </w:t>
      </w:r>
      <w:r>
        <w:rPr>
          <w:i/>
          <w:color w:val="231F20"/>
          <w:sz w:val="14"/>
        </w:rPr>
        <w:t>CSRP2</w:t>
      </w:r>
      <w:r>
        <w:rPr>
          <w:i/>
          <w:color w:val="231F20"/>
          <w:spacing w:val="-7"/>
          <w:sz w:val="14"/>
        </w:rPr>
        <w:t xml:space="preserve"> </w:t>
      </w:r>
      <w:r>
        <w:rPr>
          <w:color w:val="231F20"/>
          <w:sz w:val="14"/>
        </w:rPr>
        <w:t>expression</w:t>
      </w:r>
      <w:r>
        <w:rPr>
          <w:color w:val="231F20"/>
          <w:spacing w:val="-7"/>
          <w:sz w:val="14"/>
        </w:rPr>
        <w:t xml:space="preserve"> </w:t>
      </w:r>
      <w:r>
        <w:rPr>
          <w:color w:val="231F20"/>
          <w:sz w:val="14"/>
        </w:rPr>
        <w:t>vector</w:t>
      </w:r>
      <w:r>
        <w:rPr>
          <w:color w:val="231F20"/>
          <w:spacing w:val="-7"/>
          <w:sz w:val="14"/>
        </w:rPr>
        <w:t xml:space="preserve"> </w:t>
      </w:r>
      <w:r>
        <w:rPr>
          <w:color w:val="231F20"/>
          <w:sz w:val="14"/>
        </w:rPr>
        <w:t>or</w:t>
      </w:r>
      <w:r>
        <w:rPr>
          <w:color w:val="231F20"/>
          <w:spacing w:val="-7"/>
          <w:sz w:val="14"/>
        </w:rPr>
        <w:t xml:space="preserve"> </w:t>
      </w:r>
      <w:r>
        <w:rPr>
          <w:color w:val="231F20"/>
          <w:sz w:val="14"/>
        </w:rPr>
        <w:t>the</w:t>
      </w:r>
      <w:r>
        <w:rPr>
          <w:color w:val="231F20"/>
          <w:spacing w:val="40"/>
          <w:sz w:val="14"/>
        </w:rPr>
        <w:t xml:space="preserve"> </w:t>
      </w:r>
      <w:r>
        <w:rPr>
          <w:color w:val="231F20"/>
          <w:sz w:val="14"/>
        </w:rPr>
        <w:t>empty vector as explained in “Materials and Methods.”</w:t>
      </w:r>
    </w:p>
    <w:p w14:paraId="1B6BEFEA" w14:textId="77777777" w:rsidR="00B322A0" w:rsidRDefault="00B322A0">
      <w:pPr>
        <w:pStyle w:val="Textoindependiente"/>
        <w:ind w:left="0"/>
        <w:rPr>
          <w:sz w:val="14"/>
        </w:rPr>
      </w:pPr>
    </w:p>
    <w:p w14:paraId="16DF9217" w14:textId="77777777" w:rsidR="00B322A0" w:rsidRDefault="00B322A0">
      <w:pPr>
        <w:pStyle w:val="Textoindependiente"/>
        <w:spacing w:before="95"/>
        <w:ind w:left="0"/>
        <w:rPr>
          <w:sz w:val="14"/>
        </w:rPr>
      </w:pPr>
    </w:p>
    <w:p w14:paraId="19F44B08" w14:textId="77777777" w:rsidR="00B322A0" w:rsidRDefault="00000000">
      <w:pPr>
        <w:pStyle w:val="Textoindependiente"/>
        <w:spacing w:line="254" w:lineRule="auto"/>
        <w:ind w:right="113" w:firstLine="180"/>
        <w:jc w:val="both"/>
      </w:pPr>
      <w:r>
        <w:rPr>
          <w:b/>
          <w:color w:val="231F20"/>
        </w:rPr>
        <w:t xml:space="preserve">Growth-Inhibitory Effects in Human Cancer Cells. </w:t>
      </w:r>
      <w:r>
        <w:rPr>
          <w:color w:val="231F20"/>
        </w:rPr>
        <w:t xml:space="preserve">Finally, to gain additional insight into the potential role and relevance of these hypermethylated genes for tumor formation, we reintroduced </w:t>
      </w:r>
      <w:r>
        <w:rPr>
          <w:i/>
          <w:color w:val="231F20"/>
        </w:rPr>
        <w:t xml:space="preserve">CSRP2 </w:t>
      </w:r>
      <w:r>
        <w:rPr>
          <w:color w:val="231F20"/>
        </w:rPr>
        <w:t xml:space="preserve">and </w:t>
      </w:r>
      <w:r>
        <w:rPr>
          <w:i/>
          <w:color w:val="231F20"/>
        </w:rPr>
        <w:t xml:space="preserve">IGFBP3 </w:t>
      </w:r>
      <w:r>
        <w:rPr>
          <w:color w:val="231F20"/>
        </w:rPr>
        <w:t>in the human breast and colorectal cancer cell lines T47D and HCT-116, respectively, in which we had demonstrated inactivation by hypermethylation. Overexpressing a previously si- lenced gene product to measure the tumor suppressing-like activity has been successfully applied recently to other methylation-silenced genes,</w:t>
      </w:r>
      <w:r>
        <w:rPr>
          <w:color w:val="231F20"/>
          <w:spacing w:val="9"/>
        </w:rPr>
        <w:t xml:space="preserve"> </w:t>
      </w:r>
      <w:r>
        <w:rPr>
          <w:color w:val="231F20"/>
        </w:rPr>
        <w:t>such</w:t>
      </w:r>
      <w:r>
        <w:rPr>
          <w:color w:val="231F20"/>
          <w:spacing w:val="10"/>
        </w:rPr>
        <w:t xml:space="preserve"> </w:t>
      </w:r>
      <w:r>
        <w:rPr>
          <w:color w:val="231F20"/>
        </w:rPr>
        <w:t>as</w:t>
      </w:r>
      <w:r>
        <w:rPr>
          <w:color w:val="231F20"/>
          <w:spacing w:val="10"/>
        </w:rPr>
        <w:t xml:space="preserve"> </w:t>
      </w:r>
      <w:r>
        <w:rPr>
          <w:i/>
          <w:color w:val="231F20"/>
        </w:rPr>
        <w:t>SEMA3B</w:t>
      </w:r>
      <w:r>
        <w:rPr>
          <w:color w:val="231F20"/>
        </w:rPr>
        <w:t>,</w:t>
      </w:r>
      <w:r>
        <w:rPr>
          <w:color w:val="231F20"/>
          <w:spacing w:val="10"/>
        </w:rPr>
        <w:t xml:space="preserve"> </w:t>
      </w:r>
      <w:r>
        <w:rPr>
          <w:i/>
          <w:color w:val="231F20"/>
        </w:rPr>
        <w:t>SOCS-1,</w:t>
      </w:r>
      <w:r>
        <w:rPr>
          <w:i/>
          <w:color w:val="231F20"/>
          <w:spacing w:val="10"/>
        </w:rPr>
        <w:t xml:space="preserve"> </w:t>
      </w:r>
      <w:r>
        <w:rPr>
          <w:color w:val="231F20"/>
        </w:rPr>
        <w:t>or</w:t>
      </w:r>
      <w:r>
        <w:rPr>
          <w:color w:val="231F20"/>
          <w:spacing w:val="10"/>
        </w:rPr>
        <w:t xml:space="preserve"> </w:t>
      </w:r>
      <w:r>
        <w:rPr>
          <w:i/>
          <w:color w:val="231F20"/>
        </w:rPr>
        <w:t>CRIP1</w:t>
      </w:r>
      <w:r>
        <w:rPr>
          <w:i/>
          <w:color w:val="231F20"/>
          <w:spacing w:val="10"/>
        </w:rPr>
        <w:t xml:space="preserve"> </w:t>
      </w:r>
      <w:r>
        <w:rPr>
          <w:color w:val="231F20"/>
        </w:rPr>
        <w:t>(32–34).</w:t>
      </w:r>
      <w:r>
        <w:rPr>
          <w:color w:val="231F20"/>
          <w:spacing w:val="10"/>
        </w:rPr>
        <w:t xml:space="preserve"> </w:t>
      </w:r>
      <w:r>
        <w:rPr>
          <w:color w:val="231F20"/>
        </w:rPr>
        <w:t>After</w:t>
      </w:r>
      <w:r>
        <w:rPr>
          <w:color w:val="231F20"/>
          <w:spacing w:val="10"/>
        </w:rPr>
        <w:t xml:space="preserve"> </w:t>
      </w:r>
      <w:r>
        <w:rPr>
          <w:color w:val="231F20"/>
          <w:spacing w:val="-2"/>
        </w:rPr>
        <w:t>selection</w:t>
      </w:r>
    </w:p>
    <w:p w14:paraId="4BEF411B" w14:textId="77777777" w:rsidR="00B322A0" w:rsidRDefault="00B322A0">
      <w:pPr>
        <w:spacing w:line="254" w:lineRule="auto"/>
        <w:jc w:val="both"/>
        <w:sectPr w:rsidR="00B322A0" w:rsidSect="00BA4BCE">
          <w:pgSz w:w="11700" w:h="15660"/>
          <w:pgMar w:top="620" w:right="560" w:bottom="940" w:left="600" w:header="428" w:footer="719" w:gutter="0"/>
          <w:cols w:num="2" w:space="720" w:equalWidth="0">
            <w:col w:w="5185" w:space="95"/>
            <w:col w:w="5260"/>
          </w:cols>
        </w:sectPr>
      </w:pPr>
    </w:p>
    <w:p w14:paraId="34A1826D" w14:textId="77777777" w:rsidR="00B322A0" w:rsidRDefault="00000000">
      <w:pPr>
        <w:pStyle w:val="Textoindependiente"/>
        <w:spacing w:before="107"/>
        <w:ind w:left="0"/>
        <w:rPr>
          <w:sz w:val="14"/>
        </w:rPr>
      </w:pPr>
      <w:r>
        <w:rPr>
          <w:noProof/>
        </w:rPr>
        <mc:AlternateContent>
          <mc:Choice Requires="wps">
            <w:drawing>
              <wp:anchor distT="0" distB="0" distL="0" distR="0" simplePos="0" relativeHeight="15734272" behindDoc="0" locked="0" layoutInCell="1" allowOverlap="1" wp14:anchorId="59204430" wp14:editId="45E4D4B5">
                <wp:simplePos x="0" y="0"/>
                <wp:positionH relativeFrom="page">
                  <wp:posOffset>7108425</wp:posOffset>
                </wp:positionH>
                <wp:positionV relativeFrom="page">
                  <wp:posOffset>1928114</wp:posOffset>
                </wp:positionV>
                <wp:extent cx="111125" cy="619950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1536D143"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28">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59204430" id="Textbox 16" o:spid="_x0000_s1031" type="#_x0000_t202" style="position:absolute;margin-left:559.7pt;margin-top:151.8pt;width:8.75pt;height:488.15pt;z-index:15734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" filled="f" stroked="f">
                <v:textbox style="layout-flow:vertical" inset="0,0,0,0">
                  <w:txbxContent>
                    <w:p w14:paraId="1536D143"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29">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p>
    <w:p w14:paraId="33154C5E" w14:textId="77777777" w:rsidR="00B322A0" w:rsidRDefault="00000000">
      <w:pPr>
        <w:ind w:right="11"/>
        <w:jc w:val="center"/>
        <w:rPr>
          <w:i/>
          <w:sz w:val="14"/>
        </w:rPr>
      </w:pPr>
      <w:r>
        <w:rPr>
          <w:noProof/>
        </w:rPr>
        <mc:AlternateContent>
          <mc:Choice Requires="wps">
            <w:drawing>
              <wp:anchor distT="0" distB="0" distL="0" distR="0" simplePos="0" relativeHeight="487591936" behindDoc="1" locked="0" layoutInCell="1" allowOverlap="1" wp14:anchorId="76C0F379" wp14:editId="63497359">
                <wp:simplePos x="0" y="0"/>
                <wp:positionH relativeFrom="page">
                  <wp:posOffset>446633</wp:posOffset>
                </wp:positionH>
                <wp:positionV relativeFrom="paragraph">
                  <wp:posOffset>136107</wp:posOffset>
                </wp:positionV>
                <wp:extent cx="6553200" cy="1270"/>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53200" cy="1270"/>
                        </a:xfrm>
                        <a:custGeom>
                          <a:avLst/>
                          <a:gdLst/>
                          <a:ahLst/>
                          <a:cxnLst/>
                          <a:rect l="l" t="t" r="r" b="b"/>
                          <a:pathLst>
                            <a:path w="6553200">
                              <a:moveTo>
                                <a:pt x="0" y="0"/>
                              </a:moveTo>
                              <a:lnTo>
                                <a:pt x="6553123" y="0"/>
                              </a:lnTo>
                            </a:path>
                          </a:pathLst>
                        </a:custGeom>
                        <a:ln w="3822">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3D113A2D" id="Graphic 17" o:spid="_x0000_s1026" style="position:absolute;margin-left:35.15pt;margin-top:10.7pt;width:516pt;height:.1pt;z-index:-15724544;visibility:visible;mso-wrap-style:square;mso-wrap-distance-left:0;mso-wrap-distance-top:0;mso-wrap-distance-right:0;mso-wrap-distance-bottom:0;mso-position-horizontal:absolute;mso-position-horizontal-relative:page;mso-position-vertical:absolute;mso-position-vertical-relative:text;v-text-anchor:top" coordsize="6553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" path="m,l6553123,e" filled="f" strokecolor="#231f20" strokeweight=".1062mm">
                <v:path arrowok="t"/>
                <w10:wrap type="topAndBottom" anchorx="page"/>
              </v:shape>
            </w:pict>
          </mc:Fallback>
        </mc:AlternateContent>
      </w:r>
      <w:r>
        <w:rPr>
          <w:color w:val="231F20"/>
          <w:sz w:val="14"/>
        </w:rPr>
        <w:t>Table</w:t>
      </w:r>
      <w:r>
        <w:rPr>
          <w:color w:val="231F20"/>
          <w:spacing w:val="11"/>
          <w:sz w:val="14"/>
        </w:rPr>
        <w:t xml:space="preserve"> </w:t>
      </w:r>
      <w:r>
        <w:rPr>
          <w:color w:val="231F20"/>
          <w:sz w:val="14"/>
        </w:rPr>
        <w:t>2</w:t>
      </w:r>
      <w:r>
        <w:rPr>
          <w:color w:val="231F20"/>
          <w:spacing w:val="35"/>
          <w:sz w:val="14"/>
        </w:rPr>
        <w:t xml:space="preserve">  </w:t>
      </w:r>
      <w:r>
        <w:rPr>
          <w:i/>
          <w:color w:val="231F20"/>
          <w:sz w:val="14"/>
        </w:rPr>
        <w:t>Percentage</w:t>
      </w:r>
      <w:r>
        <w:rPr>
          <w:i/>
          <w:color w:val="231F20"/>
          <w:spacing w:val="11"/>
          <w:sz w:val="14"/>
        </w:rPr>
        <w:t xml:space="preserve"> </w:t>
      </w:r>
      <w:r>
        <w:rPr>
          <w:i/>
          <w:color w:val="231F20"/>
          <w:sz w:val="14"/>
        </w:rPr>
        <w:t>of</w:t>
      </w:r>
      <w:r>
        <w:rPr>
          <w:i/>
          <w:color w:val="231F20"/>
          <w:spacing w:val="11"/>
          <w:sz w:val="14"/>
        </w:rPr>
        <w:t xml:space="preserve"> </w:t>
      </w:r>
      <w:r>
        <w:rPr>
          <w:i/>
          <w:color w:val="231F20"/>
          <w:sz w:val="14"/>
        </w:rPr>
        <w:t>CpG</w:t>
      </w:r>
      <w:r>
        <w:rPr>
          <w:i/>
          <w:color w:val="231F20"/>
          <w:spacing w:val="11"/>
          <w:sz w:val="14"/>
        </w:rPr>
        <w:t xml:space="preserve"> </w:t>
      </w:r>
      <w:r>
        <w:rPr>
          <w:i/>
          <w:color w:val="231F20"/>
          <w:sz w:val="14"/>
        </w:rPr>
        <w:t>island</w:t>
      </w:r>
      <w:r>
        <w:rPr>
          <w:i/>
          <w:color w:val="231F20"/>
          <w:spacing w:val="11"/>
          <w:sz w:val="14"/>
        </w:rPr>
        <w:t xml:space="preserve"> </w:t>
      </w:r>
      <w:r>
        <w:rPr>
          <w:i/>
          <w:color w:val="231F20"/>
          <w:sz w:val="14"/>
        </w:rPr>
        <w:t>hypermethylation</w:t>
      </w:r>
      <w:r>
        <w:rPr>
          <w:i/>
          <w:color w:val="231F20"/>
          <w:spacing w:val="11"/>
          <w:sz w:val="14"/>
        </w:rPr>
        <w:t xml:space="preserve"> </w:t>
      </w:r>
      <w:r>
        <w:rPr>
          <w:i/>
          <w:color w:val="231F20"/>
          <w:sz w:val="14"/>
        </w:rPr>
        <w:t>in</w:t>
      </w:r>
      <w:r>
        <w:rPr>
          <w:i/>
          <w:color w:val="231F20"/>
          <w:spacing w:val="11"/>
          <w:sz w:val="14"/>
        </w:rPr>
        <w:t xml:space="preserve"> </w:t>
      </w:r>
      <w:r>
        <w:rPr>
          <w:i/>
          <w:color w:val="231F20"/>
          <w:sz w:val="14"/>
        </w:rPr>
        <w:t>mouse</w:t>
      </w:r>
      <w:r>
        <w:rPr>
          <w:i/>
          <w:color w:val="231F20"/>
          <w:spacing w:val="11"/>
          <w:sz w:val="14"/>
        </w:rPr>
        <w:t xml:space="preserve"> </w:t>
      </w:r>
      <w:r>
        <w:rPr>
          <w:i/>
          <w:color w:val="231F20"/>
          <w:sz w:val="14"/>
        </w:rPr>
        <w:t>and</w:t>
      </w:r>
      <w:r>
        <w:rPr>
          <w:i/>
          <w:color w:val="231F20"/>
          <w:spacing w:val="11"/>
          <w:sz w:val="14"/>
        </w:rPr>
        <w:t xml:space="preserve"> </w:t>
      </w:r>
      <w:r>
        <w:rPr>
          <w:i/>
          <w:color w:val="231F20"/>
          <w:sz w:val="14"/>
        </w:rPr>
        <w:t>human</w:t>
      </w:r>
      <w:r>
        <w:rPr>
          <w:i/>
          <w:color w:val="231F20"/>
          <w:spacing w:val="11"/>
          <w:sz w:val="14"/>
        </w:rPr>
        <w:t xml:space="preserve"> </w:t>
      </w:r>
      <w:r>
        <w:rPr>
          <w:i/>
          <w:color w:val="231F20"/>
          <w:sz w:val="14"/>
        </w:rPr>
        <w:t>cancer</w:t>
      </w:r>
      <w:r>
        <w:rPr>
          <w:i/>
          <w:color w:val="231F20"/>
          <w:spacing w:val="11"/>
          <w:sz w:val="14"/>
        </w:rPr>
        <w:t xml:space="preserve"> </w:t>
      </w:r>
      <w:r>
        <w:rPr>
          <w:i/>
          <w:color w:val="231F20"/>
          <w:sz w:val="14"/>
        </w:rPr>
        <w:t>samples</w:t>
      </w:r>
      <w:r>
        <w:rPr>
          <w:i/>
          <w:color w:val="231F20"/>
          <w:spacing w:val="11"/>
          <w:sz w:val="14"/>
        </w:rPr>
        <w:t xml:space="preserve"> </w:t>
      </w:r>
      <w:r>
        <w:rPr>
          <w:i/>
          <w:color w:val="231F20"/>
          <w:sz w:val="14"/>
        </w:rPr>
        <w:t>for</w:t>
      </w:r>
      <w:r>
        <w:rPr>
          <w:i/>
          <w:color w:val="231F20"/>
          <w:spacing w:val="11"/>
          <w:sz w:val="14"/>
        </w:rPr>
        <w:t xml:space="preserve"> </w:t>
      </w:r>
      <w:r>
        <w:rPr>
          <w:i/>
          <w:color w:val="231F20"/>
          <w:sz w:val="14"/>
        </w:rPr>
        <w:t>the</w:t>
      </w:r>
      <w:r>
        <w:rPr>
          <w:i/>
          <w:color w:val="231F20"/>
          <w:spacing w:val="11"/>
          <w:sz w:val="14"/>
        </w:rPr>
        <w:t xml:space="preserve"> </w:t>
      </w:r>
      <w:r>
        <w:rPr>
          <w:i/>
          <w:color w:val="231F20"/>
          <w:sz w:val="14"/>
        </w:rPr>
        <w:t>identified</w:t>
      </w:r>
      <w:r>
        <w:rPr>
          <w:i/>
          <w:color w:val="231F20"/>
          <w:spacing w:val="11"/>
          <w:sz w:val="14"/>
        </w:rPr>
        <w:t xml:space="preserve"> </w:t>
      </w:r>
      <w:r>
        <w:rPr>
          <w:i/>
          <w:color w:val="231F20"/>
          <w:sz w:val="14"/>
        </w:rPr>
        <w:t>new</w:t>
      </w:r>
      <w:r>
        <w:rPr>
          <w:i/>
          <w:color w:val="231F20"/>
          <w:spacing w:val="11"/>
          <w:sz w:val="14"/>
        </w:rPr>
        <w:t xml:space="preserve"> </w:t>
      </w:r>
      <w:r>
        <w:rPr>
          <w:i/>
          <w:color w:val="231F20"/>
          <w:sz w:val="14"/>
        </w:rPr>
        <w:t>target</w:t>
      </w:r>
      <w:r>
        <w:rPr>
          <w:i/>
          <w:color w:val="231F20"/>
          <w:spacing w:val="11"/>
          <w:sz w:val="14"/>
        </w:rPr>
        <w:t xml:space="preserve"> </w:t>
      </w:r>
      <w:r>
        <w:rPr>
          <w:i/>
          <w:color w:val="231F20"/>
          <w:spacing w:val="-2"/>
          <w:sz w:val="14"/>
        </w:rPr>
        <w:t>genes</w:t>
      </w:r>
    </w:p>
    <w:p w14:paraId="531F7189" w14:textId="77777777" w:rsidR="00B322A0" w:rsidRDefault="00000000">
      <w:pPr>
        <w:tabs>
          <w:tab w:val="left" w:pos="8098"/>
        </w:tabs>
        <w:spacing w:before="49"/>
        <w:ind w:left="3508"/>
        <w:rPr>
          <w:sz w:val="14"/>
        </w:rPr>
      </w:pPr>
      <w:r>
        <w:rPr>
          <w:color w:val="231F20"/>
          <w:spacing w:val="-2"/>
          <w:sz w:val="14"/>
        </w:rPr>
        <w:t>Mouse</w:t>
      </w:r>
      <w:r>
        <w:rPr>
          <w:color w:val="231F20"/>
          <w:sz w:val="14"/>
        </w:rPr>
        <w:tab/>
      </w:r>
      <w:r>
        <w:rPr>
          <w:color w:val="231F20"/>
          <w:spacing w:val="-2"/>
          <w:sz w:val="14"/>
        </w:rPr>
        <w:t>Human</w:t>
      </w:r>
    </w:p>
    <w:p w14:paraId="7853883B" w14:textId="77777777" w:rsidR="00B322A0" w:rsidRDefault="00000000">
      <w:pPr>
        <w:pStyle w:val="Textoindependiente"/>
        <w:ind w:left="0"/>
        <w:rPr>
          <w:sz w:val="6"/>
        </w:rPr>
      </w:pPr>
      <w:r>
        <w:rPr>
          <w:noProof/>
        </w:rPr>
        <mc:AlternateContent>
          <mc:Choice Requires="wps">
            <w:drawing>
              <wp:anchor distT="0" distB="0" distL="0" distR="0" simplePos="0" relativeHeight="487592448" behindDoc="1" locked="0" layoutInCell="1" allowOverlap="1" wp14:anchorId="13DB0A0E" wp14:editId="551D8411">
                <wp:simplePos x="0" y="0"/>
                <wp:positionH relativeFrom="page">
                  <wp:posOffset>1322603</wp:posOffset>
                </wp:positionH>
                <wp:positionV relativeFrom="paragraph">
                  <wp:posOffset>59082</wp:posOffset>
                </wp:positionV>
                <wp:extent cx="2814320" cy="1270"/>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14320" cy="1270"/>
                        </a:xfrm>
                        <a:custGeom>
                          <a:avLst/>
                          <a:gdLst/>
                          <a:ahLst/>
                          <a:cxnLst/>
                          <a:rect l="l" t="t" r="r" b="b"/>
                          <a:pathLst>
                            <a:path w="2814320">
                              <a:moveTo>
                                <a:pt x="0" y="0"/>
                              </a:moveTo>
                              <a:lnTo>
                                <a:pt x="2814243" y="0"/>
                              </a:lnTo>
                            </a:path>
                          </a:pathLst>
                        </a:custGeom>
                        <a:ln w="3822">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0DC400F1" id="Graphic 18" o:spid="_x0000_s1026" style="position:absolute;margin-left:104.15pt;margin-top:4.65pt;width:221.6pt;height:.1pt;z-index:-15724032;visibility:visible;mso-wrap-style:square;mso-wrap-distance-left:0;mso-wrap-distance-top:0;mso-wrap-distance-right:0;mso-wrap-distance-bottom:0;mso-position-horizontal:absolute;mso-position-horizontal-relative:page;mso-position-vertical:absolute;mso-position-vertical-relative:text;v-text-anchor:top" coordsize="28143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" path="m,l2814243,e" filled="f" strokecolor="#231f20" strokeweight=".1062mm">
                <v:path arrowok="t"/>
                <w10:wrap type="topAndBottom" anchorx="page"/>
              </v:shape>
            </w:pict>
          </mc:Fallback>
        </mc:AlternateContent>
      </w:r>
      <w:r>
        <w:rPr>
          <w:noProof/>
        </w:rPr>
        <mc:AlternateContent>
          <mc:Choice Requires="wps">
            <w:drawing>
              <wp:anchor distT="0" distB="0" distL="0" distR="0" simplePos="0" relativeHeight="487592960" behindDoc="1" locked="0" layoutInCell="1" allowOverlap="1" wp14:anchorId="686056DE" wp14:editId="52F1628E">
                <wp:simplePos x="0" y="0"/>
                <wp:positionH relativeFrom="page">
                  <wp:posOffset>4481944</wp:posOffset>
                </wp:positionH>
                <wp:positionV relativeFrom="paragraph">
                  <wp:posOffset>59082</wp:posOffset>
                </wp:positionV>
                <wp:extent cx="2345690" cy="127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5690" cy="1270"/>
                        </a:xfrm>
                        <a:custGeom>
                          <a:avLst/>
                          <a:gdLst/>
                          <a:ahLst/>
                          <a:cxnLst/>
                          <a:rect l="l" t="t" r="r" b="b"/>
                          <a:pathLst>
                            <a:path w="2345690">
                              <a:moveTo>
                                <a:pt x="0" y="0"/>
                              </a:moveTo>
                              <a:lnTo>
                                <a:pt x="2345283" y="0"/>
                              </a:lnTo>
                            </a:path>
                          </a:pathLst>
                        </a:custGeom>
                        <a:ln w="3822">
                          <a:solidFill>
                            <a:srgbClr val="231F20"/>
                          </a:solidFill>
                          <a:prstDash val="solid"/>
                        </a:ln>
                      </wps:spPr>
                      <wps:bodyPr wrap="square" lIns="0" tIns="0" rIns="0" bIns="0" rtlCol="0">
                        <a:prstTxWarp prst="textNoShape">
                          <a:avLst/>
                        </a:prstTxWarp>
                        <a:noAutofit/>
                      </wps:bodyPr>
                    </wps:wsp>
                  </a:graphicData>
                </a:graphic>
              </wp:anchor>
            </w:drawing>
          </mc:Choice>
          <mc:Fallback>
            <w:pict>
              <v:shape w14:anchorId="080F9539" id="Graphic 19" o:spid="_x0000_s1026" style="position:absolute;margin-left:352.9pt;margin-top:4.65pt;width:184.7pt;height:.1pt;z-index:-15723520;visibility:visible;mso-wrap-style:square;mso-wrap-distance-left:0;mso-wrap-distance-top:0;mso-wrap-distance-right:0;mso-wrap-distance-bottom:0;mso-position-horizontal:absolute;mso-position-horizontal-relative:page;mso-position-vertical:absolute;mso-position-vertical-relative:text;v-text-anchor:top" coordsize="234569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" path="m,l2345283,e" filled="f" strokecolor="#231f20" strokeweight=".1062mm">
                <v:path arrowok="t"/>
                <w10:wrap type="topAndBottom" anchorx="page"/>
              </v:shape>
            </w:pict>
          </mc:Fallback>
        </mc:AlternateContent>
      </w:r>
    </w:p>
    <w:p w14:paraId="379E3C1D" w14:textId="77777777" w:rsidR="00B322A0" w:rsidRDefault="00000000">
      <w:pPr>
        <w:tabs>
          <w:tab w:val="left" w:pos="8065"/>
        </w:tabs>
        <w:spacing w:before="29"/>
        <w:ind w:left="3354"/>
        <w:rPr>
          <w:sz w:val="14"/>
        </w:rPr>
      </w:pPr>
      <w:r>
        <w:rPr>
          <w:color w:val="231F20"/>
          <w:sz w:val="14"/>
        </w:rPr>
        <w:t>Mouse</w:t>
      </w:r>
      <w:r>
        <w:rPr>
          <w:color w:val="231F20"/>
          <w:spacing w:val="11"/>
          <w:sz w:val="14"/>
        </w:rPr>
        <w:t xml:space="preserve"> </w:t>
      </w:r>
      <w:r>
        <w:rPr>
          <w:color w:val="231F20"/>
          <w:sz w:val="14"/>
        </w:rPr>
        <w:t>skin</w:t>
      </w:r>
      <w:r>
        <w:rPr>
          <w:color w:val="231F20"/>
          <w:spacing w:val="11"/>
          <w:sz w:val="14"/>
        </w:rPr>
        <w:t xml:space="preserve"> </w:t>
      </w:r>
      <w:r>
        <w:rPr>
          <w:color w:val="231F20"/>
          <w:sz w:val="14"/>
        </w:rPr>
        <w:t>primary</w:t>
      </w:r>
      <w:r>
        <w:rPr>
          <w:color w:val="231F20"/>
          <w:spacing w:val="11"/>
          <w:sz w:val="14"/>
        </w:rPr>
        <w:t xml:space="preserve"> </w:t>
      </w:r>
      <w:r>
        <w:rPr>
          <w:color w:val="231F20"/>
          <w:sz w:val="14"/>
        </w:rPr>
        <w:t>tumors</w:t>
      </w:r>
      <w:r>
        <w:rPr>
          <w:color w:val="231F20"/>
          <w:spacing w:val="11"/>
          <w:sz w:val="14"/>
        </w:rPr>
        <w:t xml:space="preserve"> </w:t>
      </w: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15)</w:t>
      </w:r>
      <w:r>
        <w:rPr>
          <w:color w:val="231F20"/>
          <w:sz w:val="14"/>
        </w:rPr>
        <w:tab/>
        <w:t>Human</w:t>
      </w:r>
      <w:r>
        <w:rPr>
          <w:color w:val="231F20"/>
          <w:spacing w:val="11"/>
          <w:sz w:val="14"/>
        </w:rPr>
        <w:t xml:space="preserve"> </w:t>
      </w:r>
      <w:r>
        <w:rPr>
          <w:color w:val="231F20"/>
          <w:sz w:val="14"/>
        </w:rPr>
        <w:t>primary</w:t>
      </w:r>
      <w:r>
        <w:rPr>
          <w:color w:val="231F20"/>
          <w:spacing w:val="11"/>
          <w:sz w:val="14"/>
        </w:rPr>
        <w:t xml:space="preserve"> </w:t>
      </w:r>
      <w:r>
        <w:rPr>
          <w:color w:val="231F20"/>
          <w:sz w:val="14"/>
        </w:rPr>
        <w:t>tumors</w:t>
      </w:r>
      <w:r>
        <w:rPr>
          <w:color w:val="231F20"/>
          <w:spacing w:val="11"/>
          <w:sz w:val="14"/>
        </w:rPr>
        <w:t xml:space="preserve"> </w:t>
      </w: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4"/>
          <w:sz w:val="14"/>
        </w:rPr>
        <w:t>109)</w:t>
      </w:r>
    </w:p>
    <w:p w14:paraId="4C7507F7" w14:textId="77777777" w:rsidR="00B322A0" w:rsidRDefault="00B322A0">
      <w:pPr>
        <w:pStyle w:val="Textoindependiente"/>
        <w:spacing w:after="1"/>
        <w:ind w:left="0"/>
        <w:rPr>
          <w:sz w:val="8"/>
        </w:rPr>
      </w:pPr>
    </w:p>
    <w:tbl>
      <w:tblPr>
        <w:tblStyle w:val="TableNormal"/>
        <w:tblW w:w="0" w:type="auto"/>
        <w:tblInd w:w="110" w:type="dxa"/>
        <w:tblLayout w:type="fixed"/>
        <w:tblLook w:val="01E0" w:firstRow="1" w:lastRow="1" w:firstColumn="1" w:lastColumn="1" w:noHBand="0" w:noVBand="0"/>
      </w:tblPr>
      <w:tblGrid>
        <w:gridCol w:w="1103"/>
        <w:gridCol w:w="1735"/>
        <w:gridCol w:w="867"/>
        <w:gridCol w:w="1178"/>
        <w:gridCol w:w="932"/>
        <w:gridCol w:w="2033"/>
        <w:gridCol w:w="1151"/>
        <w:gridCol w:w="1056"/>
        <w:gridCol w:w="273"/>
      </w:tblGrid>
      <w:tr w:rsidR="00B322A0" w14:paraId="3BE42322" w14:textId="77777777">
        <w:trPr>
          <w:trHeight w:val="355"/>
        </w:trPr>
        <w:tc>
          <w:tcPr>
            <w:tcW w:w="1103" w:type="dxa"/>
            <w:vMerge w:val="restart"/>
            <w:tcBorders>
              <w:bottom w:val="single" w:sz="4" w:space="0" w:color="231F20"/>
            </w:tcBorders>
          </w:tcPr>
          <w:p w14:paraId="40BF69FE" w14:textId="77777777" w:rsidR="00B322A0" w:rsidRDefault="00B322A0">
            <w:pPr>
              <w:pStyle w:val="TableParagraph"/>
              <w:spacing w:line="240" w:lineRule="auto"/>
              <w:ind w:left="0"/>
              <w:jc w:val="left"/>
              <w:rPr>
                <w:sz w:val="16"/>
              </w:rPr>
            </w:pPr>
          </w:p>
        </w:tc>
        <w:tc>
          <w:tcPr>
            <w:tcW w:w="1735" w:type="dxa"/>
          </w:tcPr>
          <w:p w14:paraId="0A521842" w14:textId="77777777" w:rsidR="00B322A0" w:rsidRDefault="00000000">
            <w:pPr>
              <w:pStyle w:val="TableParagraph"/>
              <w:spacing w:before="16" w:line="160" w:lineRule="exact"/>
              <w:ind w:left="286" w:right="369" w:firstLine="116"/>
              <w:jc w:val="left"/>
              <w:rPr>
                <w:sz w:val="14"/>
              </w:rPr>
            </w:pPr>
            <w:r>
              <w:rPr>
                <w:color w:val="231F20"/>
                <w:sz w:val="14"/>
              </w:rPr>
              <w:t>Mouse skin</w:t>
            </w:r>
            <w:r>
              <w:rPr>
                <w:color w:val="231F20"/>
                <w:spacing w:val="40"/>
                <w:sz w:val="14"/>
              </w:rPr>
              <w:t xml:space="preserve"> </w:t>
            </w:r>
            <w:r>
              <w:rPr>
                <w:color w:val="231F20"/>
                <w:sz w:val="14"/>
              </w:rPr>
              <w:t>tumor</w:t>
            </w:r>
            <w:r>
              <w:rPr>
                <w:color w:val="231F20"/>
                <w:spacing w:val="-6"/>
                <w:sz w:val="14"/>
              </w:rPr>
              <w:t xml:space="preserve"> </w:t>
            </w:r>
            <w:r>
              <w:rPr>
                <w:color w:val="231F20"/>
                <w:sz w:val="14"/>
              </w:rPr>
              <w:t>cell</w:t>
            </w:r>
            <w:r>
              <w:rPr>
                <w:color w:val="231F20"/>
                <w:spacing w:val="-5"/>
                <w:sz w:val="14"/>
              </w:rPr>
              <w:t xml:space="preserve"> </w:t>
            </w:r>
            <w:r>
              <w:rPr>
                <w:color w:val="231F20"/>
                <w:sz w:val="14"/>
              </w:rPr>
              <w:t>lines</w:t>
            </w:r>
          </w:p>
        </w:tc>
        <w:tc>
          <w:tcPr>
            <w:tcW w:w="867" w:type="dxa"/>
            <w:tcBorders>
              <w:top w:val="single" w:sz="4" w:space="0" w:color="231F20"/>
            </w:tcBorders>
          </w:tcPr>
          <w:p w14:paraId="0A794D6F" w14:textId="77777777" w:rsidR="00B322A0" w:rsidRDefault="00B322A0">
            <w:pPr>
              <w:pStyle w:val="TableParagraph"/>
              <w:spacing w:before="36" w:line="240" w:lineRule="auto"/>
              <w:ind w:left="0"/>
              <w:jc w:val="left"/>
              <w:rPr>
                <w:sz w:val="14"/>
              </w:rPr>
            </w:pPr>
          </w:p>
          <w:p w14:paraId="6A9C4A4D" w14:textId="77777777" w:rsidR="00B322A0" w:rsidRDefault="00000000">
            <w:pPr>
              <w:pStyle w:val="TableParagraph"/>
              <w:spacing w:line="138" w:lineRule="exact"/>
              <w:ind w:left="9"/>
              <w:jc w:val="left"/>
              <w:rPr>
                <w:sz w:val="14"/>
              </w:rPr>
            </w:pPr>
            <w:r>
              <w:rPr>
                <w:color w:val="231F20"/>
                <w:spacing w:val="-2"/>
                <w:sz w:val="14"/>
              </w:rPr>
              <w:t>Papilloma</w:t>
            </w:r>
          </w:p>
        </w:tc>
        <w:tc>
          <w:tcPr>
            <w:tcW w:w="1178" w:type="dxa"/>
            <w:tcBorders>
              <w:top w:val="single" w:sz="4" w:space="0" w:color="231F20"/>
            </w:tcBorders>
          </w:tcPr>
          <w:p w14:paraId="08DB67E8" w14:textId="77777777" w:rsidR="00B322A0" w:rsidRDefault="00000000">
            <w:pPr>
              <w:pStyle w:val="TableParagraph"/>
              <w:spacing w:before="16" w:line="160" w:lineRule="exact"/>
              <w:ind w:left="286" w:hanging="1"/>
              <w:jc w:val="left"/>
              <w:rPr>
                <w:sz w:val="14"/>
              </w:rPr>
            </w:pPr>
            <w:r>
              <w:rPr>
                <w:color w:val="231F20"/>
                <w:spacing w:val="-2"/>
                <w:sz w:val="14"/>
              </w:rPr>
              <w:t>Squamous</w:t>
            </w:r>
            <w:r>
              <w:rPr>
                <w:color w:val="231F20"/>
                <w:spacing w:val="40"/>
                <w:sz w:val="14"/>
              </w:rPr>
              <w:t xml:space="preserve"> </w:t>
            </w:r>
            <w:r>
              <w:rPr>
                <w:color w:val="231F20"/>
                <w:spacing w:val="-2"/>
                <w:sz w:val="14"/>
              </w:rPr>
              <w:t>carcinoma</w:t>
            </w:r>
          </w:p>
        </w:tc>
        <w:tc>
          <w:tcPr>
            <w:tcW w:w="932" w:type="dxa"/>
            <w:tcBorders>
              <w:top w:val="single" w:sz="4" w:space="0" w:color="231F20"/>
            </w:tcBorders>
          </w:tcPr>
          <w:p w14:paraId="642DF364" w14:textId="77777777" w:rsidR="00B322A0" w:rsidRDefault="00000000">
            <w:pPr>
              <w:pStyle w:val="TableParagraph"/>
              <w:spacing w:before="16" w:line="160" w:lineRule="exact"/>
              <w:ind w:left="302" w:firstLine="77"/>
              <w:jc w:val="left"/>
              <w:rPr>
                <w:sz w:val="14"/>
              </w:rPr>
            </w:pPr>
            <w:r>
              <w:rPr>
                <w:color w:val="231F20"/>
                <w:spacing w:val="-2"/>
                <w:sz w:val="14"/>
              </w:rPr>
              <w:t>Spindle</w:t>
            </w:r>
            <w:r>
              <w:rPr>
                <w:color w:val="231F20"/>
                <w:spacing w:val="40"/>
                <w:sz w:val="14"/>
              </w:rPr>
              <w:t xml:space="preserve"> </w:t>
            </w:r>
            <w:r>
              <w:rPr>
                <w:color w:val="231F20"/>
                <w:spacing w:val="-2"/>
                <w:sz w:val="14"/>
              </w:rPr>
              <w:t>carcinoma</w:t>
            </w:r>
          </w:p>
        </w:tc>
        <w:tc>
          <w:tcPr>
            <w:tcW w:w="2033" w:type="dxa"/>
          </w:tcPr>
          <w:p w14:paraId="51DF2170" w14:textId="77777777" w:rsidR="00B322A0" w:rsidRDefault="00000000">
            <w:pPr>
              <w:pStyle w:val="TableParagraph"/>
              <w:spacing w:before="16" w:line="160" w:lineRule="exact"/>
              <w:ind w:left="755" w:right="445" w:hanging="156"/>
              <w:jc w:val="left"/>
              <w:rPr>
                <w:sz w:val="14"/>
              </w:rPr>
            </w:pPr>
            <w:r>
              <w:rPr>
                <w:color w:val="231F20"/>
                <w:sz w:val="14"/>
              </w:rPr>
              <w:t>Human</w:t>
            </w:r>
            <w:r>
              <w:rPr>
                <w:color w:val="231F20"/>
                <w:spacing w:val="-6"/>
                <w:sz w:val="14"/>
              </w:rPr>
              <w:t xml:space="preserve"> </w:t>
            </w:r>
            <w:r>
              <w:rPr>
                <w:color w:val="231F20"/>
                <w:sz w:val="14"/>
              </w:rPr>
              <w:t>cancer</w:t>
            </w:r>
            <w:r>
              <w:rPr>
                <w:color w:val="231F20"/>
                <w:spacing w:val="40"/>
                <w:sz w:val="14"/>
              </w:rPr>
              <w:t xml:space="preserve"> </w:t>
            </w:r>
            <w:r>
              <w:rPr>
                <w:color w:val="231F20"/>
                <w:sz w:val="14"/>
              </w:rPr>
              <w:t>cell lines</w:t>
            </w:r>
          </w:p>
        </w:tc>
        <w:tc>
          <w:tcPr>
            <w:tcW w:w="1151" w:type="dxa"/>
            <w:tcBorders>
              <w:top w:val="single" w:sz="4" w:space="0" w:color="231F20"/>
            </w:tcBorders>
          </w:tcPr>
          <w:p w14:paraId="7812A4EB" w14:textId="77777777" w:rsidR="00B322A0" w:rsidRDefault="00000000">
            <w:pPr>
              <w:pStyle w:val="TableParagraph"/>
              <w:spacing w:before="16" w:line="160" w:lineRule="exact"/>
              <w:ind w:left="106" w:right="107" w:hanging="78"/>
              <w:jc w:val="left"/>
              <w:rPr>
                <w:sz w:val="14"/>
              </w:rPr>
            </w:pPr>
            <w:r>
              <w:rPr>
                <w:color w:val="231F20"/>
                <w:spacing w:val="-2"/>
                <w:sz w:val="14"/>
              </w:rPr>
              <w:t>Nonmelanoma</w:t>
            </w:r>
            <w:r>
              <w:rPr>
                <w:color w:val="231F20"/>
                <w:spacing w:val="40"/>
                <w:sz w:val="14"/>
              </w:rPr>
              <w:t xml:space="preserve"> </w:t>
            </w:r>
            <w:r>
              <w:rPr>
                <w:color w:val="231F20"/>
                <w:sz w:val="14"/>
              </w:rPr>
              <w:t>skin tumors</w:t>
            </w:r>
          </w:p>
        </w:tc>
        <w:tc>
          <w:tcPr>
            <w:tcW w:w="1056" w:type="dxa"/>
            <w:tcBorders>
              <w:top w:val="single" w:sz="4" w:space="0" w:color="231F20"/>
            </w:tcBorders>
          </w:tcPr>
          <w:p w14:paraId="7E4DC666" w14:textId="77777777" w:rsidR="00B322A0" w:rsidRDefault="00B322A0">
            <w:pPr>
              <w:pStyle w:val="TableParagraph"/>
              <w:spacing w:before="36" w:line="240" w:lineRule="auto"/>
              <w:ind w:left="0"/>
              <w:jc w:val="left"/>
              <w:rPr>
                <w:sz w:val="14"/>
              </w:rPr>
            </w:pPr>
          </w:p>
          <w:p w14:paraId="08C14127" w14:textId="77777777" w:rsidR="00B322A0" w:rsidRDefault="00000000">
            <w:pPr>
              <w:pStyle w:val="TableParagraph"/>
              <w:spacing w:line="138" w:lineRule="exact"/>
              <w:ind w:left="0" w:right="12"/>
              <w:jc w:val="right"/>
              <w:rPr>
                <w:sz w:val="14"/>
              </w:rPr>
            </w:pPr>
            <w:r>
              <w:rPr>
                <w:color w:val="231F20"/>
                <w:sz w:val="14"/>
              </w:rPr>
              <w:t>Other</w:t>
            </w:r>
            <w:r>
              <w:rPr>
                <w:color w:val="231F20"/>
                <w:spacing w:val="9"/>
                <w:sz w:val="14"/>
              </w:rPr>
              <w:t xml:space="preserve"> </w:t>
            </w:r>
            <w:r>
              <w:rPr>
                <w:color w:val="231F20"/>
                <w:spacing w:val="-2"/>
                <w:sz w:val="14"/>
              </w:rPr>
              <w:t>tumors</w:t>
            </w:r>
          </w:p>
        </w:tc>
        <w:tc>
          <w:tcPr>
            <w:tcW w:w="273" w:type="dxa"/>
            <w:vMerge w:val="restart"/>
            <w:tcBorders>
              <w:bottom w:val="single" w:sz="4" w:space="0" w:color="231F20"/>
            </w:tcBorders>
          </w:tcPr>
          <w:p w14:paraId="78ED1FA6" w14:textId="77777777" w:rsidR="00B322A0" w:rsidRDefault="00B322A0">
            <w:pPr>
              <w:pStyle w:val="TableParagraph"/>
              <w:spacing w:line="240" w:lineRule="auto"/>
              <w:ind w:left="0"/>
              <w:jc w:val="left"/>
              <w:rPr>
                <w:sz w:val="16"/>
              </w:rPr>
            </w:pPr>
          </w:p>
        </w:tc>
      </w:tr>
      <w:tr w:rsidR="00B322A0" w14:paraId="01D11D15" w14:textId="77777777">
        <w:trPr>
          <w:trHeight w:val="187"/>
        </w:trPr>
        <w:tc>
          <w:tcPr>
            <w:tcW w:w="1103" w:type="dxa"/>
            <w:vMerge/>
            <w:tcBorders>
              <w:top w:val="nil"/>
              <w:bottom w:val="single" w:sz="4" w:space="0" w:color="231F20"/>
            </w:tcBorders>
          </w:tcPr>
          <w:p w14:paraId="3A24A4B2" w14:textId="77777777" w:rsidR="00B322A0" w:rsidRDefault="00B322A0">
            <w:pPr>
              <w:rPr>
                <w:sz w:val="2"/>
                <w:szCs w:val="2"/>
              </w:rPr>
            </w:pPr>
          </w:p>
        </w:tc>
        <w:tc>
          <w:tcPr>
            <w:tcW w:w="1735" w:type="dxa"/>
            <w:tcBorders>
              <w:bottom w:val="single" w:sz="4" w:space="0" w:color="231F20"/>
            </w:tcBorders>
          </w:tcPr>
          <w:p w14:paraId="2ACF163C" w14:textId="77777777" w:rsidR="00B322A0" w:rsidRDefault="00000000">
            <w:pPr>
              <w:pStyle w:val="TableParagraph"/>
              <w:spacing w:line="153" w:lineRule="exact"/>
              <w:ind w:left="477"/>
              <w:jc w:val="left"/>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10)</w:t>
            </w:r>
          </w:p>
        </w:tc>
        <w:tc>
          <w:tcPr>
            <w:tcW w:w="867" w:type="dxa"/>
            <w:tcBorders>
              <w:bottom w:val="single" w:sz="4" w:space="0" w:color="231F20"/>
            </w:tcBorders>
          </w:tcPr>
          <w:p w14:paraId="6594BFE8" w14:textId="77777777" w:rsidR="00B322A0" w:rsidRDefault="00000000">
            <w:pPr>
              <w:pStyle w:val="TableParagraph"/>
              <w:spacing w:line="153" w:lineRule="exact"/>
              <w:ind w:left="71"/>
              <w:jc w:val="left"/>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5)</w:t>
            </w:r>
          </w:p>
        </w:tc>
        <w:tc>
          <w:tcPr>
            <w:tcW w:w="1178" w:type="dxa"/>
            <w:tcBorders>
              <w:bottom w:val="single" w:sz="4" w:space="0" w:color="231F20"/>
            </w:tcBorders>
          </w:tcPr>
          <w:p w14:paraId="16930565" w14:textId="77777777" w:rsidR="00B322A0" w:rsidRDefault="00000000">
            <w:pPr>
              <w:pStyle w:val="TableParagraph"/>
              <w:spacing w:line="153" w:lineRule="exact"/>
              <w:ind w:left="357"/>
              <w:jc w:val="left"/>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5)</w:t>
            </w:r>
          </w:p>
        </w:tc>
        <w:tc>
          <w:tcPr>
            <w:tcW w:w="932" w:type="dxa"/>
            <w:tcBorders>
              <w:bottom w:val="single" w:sz="4" w:space="0" w:color="231F20"/>
            </w:tcBorders>
          </w:tcPr>
          <w:p w14:paraId="2142AC90" w14:textId="77777777" w:rsidR="00B322A0" w:rsidRDefault="00000000">
            <w:pPr>
              <w:pStyle w:val="TableParagraph"/>
              <w:spacing w:line="153" w:lineRule="exact"/>
              <w:ind w:left="372"/>
              <w:jc w:val="left"/>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5)</w:t>
            </w:r>
          </w:p>
        </w:tc>
        <w:tc>
          <w:tcPr>
            <w:tcW w:w="2033" w:type="dxa"/>
            <w:tcBorders>
              <w:bottom w:val="single" w:sz="4" w:space="0" w:color="231F20"/>
            </w:tcBorders>
          </w:tcPr>
          <w:p w14:paraId="15E2E4FC" w14:textId="77777777" w:rsidR="00B322A0" w:rsidRDefault="00000000">
            <w:pPr>
              <w:pStyle w:val="TableParagraph"/>
              <w:spacing w:line="153" w:lineRule="exact"/>
              <w:ind w:left="0" w:right="6"/>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28)</w:t>
            </w:r>
          </w:p>
        </w:tc>
        <w:tc>
          <w:tcPr>
            <w:tcW w:w="1151" w:type="dxa"/>
            <w:tcBorders>
              <w:bottom w:val="single" w:sz="4" w:space="0" w:color="231F20"/>
            </w:tcBorders>
          </w:tcPr>
          <w:p w14:paraId="3C7754C4" w14:textId="77777777" w:rsidR="00B322A0" w:rsidRDefault="00000000">
            <w:pPr>
              <w:pStyle w:val="TableParagraph"/>
              <w:spacing w:line="153" w:lineRule="exact"/>
              <w:ind w:left="184"/>
              <w:jc w:val="left"/>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26)</w:t>
            </w:r>
          </w:p>
        </w:tc>
        <w:tc>
          <w:tcPr>
            <w:tcW w:w="1056" w:type="dxa"/>
            <w:tcBorders>
              <w:bottom w:val="single" w:sz="4" w:space="0" w:color="231F20"/>
            </w:tcBorders>
          </w:tcPr>
          <w:p w14:paraId="48FBA60A" w14:textId="77777777" w:rsidR="00B322A0" w:rsidRDefault="00000000">
            <w:pPr>
              <w:pStyle w:val="TableParagraph"/>
              <w:spacing w:line="153" w:lineRule="exact"/>
              <w:ind w:left="407"/>
              <w:jc w:val="left"/>
              <w:rPr>
                <w:sz w:val="14"/>
              </w:rPr>
            </w:pPr>
            <w:r>
              <w:rPr>
                <w:color w:val="231F20"/>
                <w:sz w:val="14"/>
              </w:rPr>
              <w:t>(</w:t>
            </w:r>
            <w:r>
              <w:rPr>
                <w:i/>
                <w:color w:val="231F20"/>
                <w:sz w:val="14"/>
              </w:rPr>
              <w:t>n</w:t>
            </w:r>
            <w:r>
              <w:rPr>
                <w:i/>
                <w:color w:val="231F20"/>
                <w:spacing w:val="11"/>
                <w:sz w:val="14"/>
              </w:rPr>
              <w:t xml:space="preserve"> </w:t>
            </w:r>
            <w:r>
              <w:rPr>
                <w:rFonts w:ascii="Verdana"/>
                <w:color w:val="231F20"/>
                <w:sz w:val="14"/>
              </w:rPr>
              <w:t>=</w:t>
            </w:r>
            <w:r>
              <w:rPr>
                <w:rFonts w:ascii="Verdana"/>
                <w:color w:val="231F20"/>
                <w:spacing w:val="-2"/>
                <w:sz w:val="14"/>
              </w:rPr>
              <w:t xml:space="preserve"> </w:t>
            </w:r>
            <w:r>
              <w:rPr>
                <w:color w:val="231F20"/>
                <w:spacing w:val="-5"/>
                <w:sz w:val="14"/>
              </w:rPr>
              <w:t>83)</w:t>
            </w:r>
          </w:p>
        </w:tc>
        <w:tc>
          <w:tcPr>
            <w:tcW w:w="273" w:type="dxa"/>
            <w:vMerge/>
            <w:tcBorders>
              <w:top w:val="nil"/>
              <w:bottom w:val="single" w:sz="4" w:space="0" w:color="231F20"/>
            </w:tcBorders>
          </w:tcPr>
          <w:p w14:paraId="791DA85E" w14:textId="77777777" w:rsidR="00B322A0" w:rsidRDefault="00B322A0">
            <w:pPr>
              <w:rPr>
                <w:sz w:val="2"/>
                <w:szCs w:val="2"/>
              </w:rPr>
            </w:pPr>
          </w:p>
        </w:tc>
      </w:tr>
      <w:tr w:rsidR="00B322A0" w14:paraId="27C33AFE" w14:textId="77777777">
        <w:trPr>
          <w:trHeight w:val="197"/>
        </w:trPr>
        <w:tc>
          <w:tcPr>
            <w:tcW w:w="1103" w:type="dxa"/>
            <w:tcBorders>
              <w:top w:val="single" w:sz="4" w:space="0" w:color="231F20"/>
            </w:tcBorders>
          </w:tcPr>
          <w:p w14:paraId="4E5556B7" w14:textId="77777777" w:rsidR="00B322A0" w:rsidRDefault="00000000">
            <w:pPr>
              <w:pStyle w:val="TableParagraph"/>
              <w:spacing w:before="34" w:line="143" w:lineRule="exact"/>
              <w:ind w:left="70" w:right="153"/>
              <w:rPr>
                <w:i/>
                <w:sz w:val="14"/>
              </w:rPr>
            </w:pPr>
            <w:r>
              <w:rPr>
                <w:i/>
                <w:color w:val="231F20"/>
                <w:spacing w:val="-2"/>
                <w:sz w:val="14"/>
              </w:rPr>
              <w:t>IGFBP3</w:t>
            </w:r>
          </w:p>
        </w:tc>
        <w:tc>
          <w:tcPr>
            <w:tcW w:w="1735" w:type="dxa"/>
            <w:tcBorders>
              <w:top w:val="single" w:sz="4" w:space="0" w:color="231F20"/>
            </w:tcBorders>
          </w:tcPr>
          <w:p w14:paraId="3AEC8B24" w14:textId="77777777" w:rsidR="00B322A0" w:rsidRDefault="00000000">
            <w:pPr>
              <w:pStyle w:val="TableParagraph"/>
              <w:spacing w:before="34" w:line="143" w:lineRule="exact"/>
              <w:ind w:left="416"/>
              <w:jc w:val="left"/>
              <w:rPr>
                <w:sz w:val="14"/>
              </w:rPr>
            </w:pPr>
            <w:r>
              <w:rPr>
                <w:color w:val="231F20"/>
                <w:sz w:val="14"/>
              </w:rPr>
              <w:t xml:space="preserve">3/10 </w:t>
            </w:r>
            <w:r>
              <w:rPr>
                <w:color w:val="231F20"/>
                <w:spacing w:val="-2"/>
                <w:sz w:val="14"/>
              </w:rPr>
              <w:t>(30%)</w:t>
            </w:r>
          </w:p>
        </w:tc>
        <w:tc>
          <w:tcPr>
            <w:tcW w:w="867" w:type="dxa"/>
            <w:tcBorders>
              <w:top w:val="single" w:sz="4" w:space="0" w:color="231F20"/>
            </w:tcBorders>
          </w:tcPr>
          <w:p w14:paraId="1FA2BAB3" w14:textId="77777777" w:rsidR="00B322A0" w:rsidRDefault="00000000">
            <w:pPr>
              <w:pStyle w:val="TableParagraph"/>
              <w:spacing w:before="34" w:line="143" w:lineRule="exact"/>
              <w:ind w:left="203"/>
              <w:jc w:val="left"/>
              <w:rPr>
                <w:sz w:val="14"/>
              </w:rPr>
            </w:pPr>
            <w:r>
              <w:rPr>
                <w:color w:val="231F20"/>
                <w:spacing w:val="-5"/>
                <w:sz w:val="14"/>
              </w:rPr>
              <w:t>0/5</w:t>
            </w:r>
          </w:p>
        </w:tc>
        <w:tc>
          <w:tcPr>
            <w:tcW w:w="1178" w:type="dxa"/>
            <w:tcBorders>
              <w:top w:val="single" w:sz="4" w:space="0" w:color="231F20"/>
            </w:tcBorders>
          </w:tcPr>
          <w:p w14:paraId="40E1179B" w14:textId="77777777" w:rsidR="00B322A0" w:rsidRDefault="00000000">
            <w:pPr>
              <w:pStyle w:val="TableParagraph"/>
              <w:spacing w:before="34" w:line="143" w:lineRule="exact"/>
              <w:ind w:left="296"/>
              <w:jc w:val="left"/>
              <w:rPr>
                <w:sz w:val="14"/>
              </w:rPr>
            </w:pPr>
            <w:r>
              <w:rPr>
                <w:color w:val="231F20"/>
                <w:sz w:val="14"/>
              </w:rPr>
              <w:t xml:space="preserve">2/5 </w:t>
            </w:r>
            <w:r>
              <w:rPr>
                <w:color w:val="231F20"/>
                <w:spacing w:val="-2"/>
                <w:sz w:val="14"/>
              </w:rPr>
              <w:t>(40%)</w:t>
            </w:r>
          </w:p>
        </w:tc>
        <w:tc>
          <w:tcPr>
            <w:tcW w:w="932" w:type="dxa"/>
            <w:tcBorders>
              <w:top w:val="single" w:sz="4" w:space="0" w:color="231F20"/>
            </w:tcBorders>
          </w:tcPr>
          <w:p w14:paraId="16536017" w14:textId="77777777" w:rsidR="00B322A0" w:rsidRDefault="00000000">
            <w:pPr>
              <w:pStyle w:val="TableParagraph"/>
              <w:spacing w:before="34" w:line="143" w:lineRule="exact"/>
              <w:ind w:left="311"/>
              <w:jc w:val="left"/>
              <w:rPr>
                <w:sz w:val="14"/>
              </w:rPr>
            </w:pPr>
            <w:r>
              <w:rPr>
                <w:color w:val="231F20"/>
                <w:sz w:val="14"/>
              </w:rPr>
              <w:t xml:space="preserve">4/5 </w:t>
            </w:r>
            <w:r>
              <w:rPr>
                <w:color w:val="231F20"/>
                <w:spacing w:val="-2"/>
                <w:sz w:val="14"/>
              </w:rPr>
              <w:t>(80%)</w:t>
            </w:r>
          </w:p>
        </w:tc>
        <w:tc>
          <w:tcPr>
            <w:tcW w:w="2033" w:type="dxa"/>
            <w:tcBorders>
              <w:top w:val="single" w:sz="4" w:space="0" w:color="231F20"/>
            </w:tcBorders>
          </w:tcPr>
          <w:p w14:paraId="179A1079" w14:textId="77777777" w:rsidR="00B322A0" w:rsidRDefault="00000000">
            <w:pPr>
              <w:pStyle w:val="TableParagraph"/>
              <w:spacing w:before="34" w:line="143" w:lineRule="exact"/>
              <w:ind w:left="572"/>
              <w:jc w:val="left"/>
              <w:rPr>
                <w:sz w:val="14"/>
              </w:rPr>
            </w:pPr>
            <w:r>
              <w:rPr>
                <w:color w:val="231F20"/>
                <w:sz w:val="14"/>
              </w:rPr>
              <w:t xml:space="preserve">17/28 </w:t>
            </w:r>
            <w:r>
              <w:rPr>
                <w:color w:val="231F20"/>
                <w:spacing w:val="-2"/>
                <w:sz w:val="14"/>
              </w:rPr>
              <w:t>(60.27%)</w:t>
            </w:r>
          </w:p>
        </w:tc>
        <w:tc>
          <w:tcPr>
            <w:tcW w:w="1151" w:type="dxa"/>
            <w:tcBorders>
              <w:top w:val="single" w:sz="4" w:space="0" w:color="231F20"/>
            </w:tcBorders>
          </w:tcPr>
          <w:p w14:paraId="0C76BBB1" w14:textId="77777777" w:rsidR="00B322A0" w:rsidRDefault="00000000">
            <w:pPr>
              <w:pStyle w:val="TableParagraph"/>
              <w:spacing w:before="34" w:line="143" w:lineRule="exact"/>
              <w:ind w:left="0" w:right="356"/>
              <w:jc w:val="right"/>
              <w:rPr>
                <w:sz w:val="14"/>
              </w:rPr>
            </w:pPr>
            <w:r>
              <w:rPr>
                <w:color w:val="231F20"/>
                <w:sz w:val="14"/>
              </w:rPr>
              <w:t xml:space="preserve">3/25 </w:t>
            </w:r>
            <w:r>
              <w:rPr>
                <w:color w:val="231F20"/>
                <w:spacing w:val="-2"/>
                <w:sz w:val="14"/>
              </w:rPr>
              <w:t>(12%)</w:t>
            </w:r>
          </w:p>
        </w:tc>
        <w:tc>
          <w:tcPr>
            <w:tcW w:w="1056" w:type="dxa"/>
            <w:tcBorders>
              <w:top w:val="single" w:sz="4" w:space="0" w:color="231F20"/>
            </w:tcBorders>
          </w:tcPr>
          <w:p w14:paraId="420B1E96" w14:textId="77777777" w:rsidR="00B322A0" w:rsidRDefault="00000000">
            <w:pPr>
              <w:pStyle w:val="TableParagraph"/>
              <w:spacing w:before="34" w:line="143" w:lineRule="exact"/>
              <w:ind w:left="0" w:right="38"/>
              <w:jc w:val="right"/>
              <w:rPr>
                <w:sz w:val="14"/>
              </w:rPr>
            </w:pPr>
            <w:r>
              <w:rPr>
                <w:color w:val="231F20"/>
                <w:sz w:val="14"/>
              </w:rPr>
              <w:t xml:space="preserve">37/65 </w:t>
            </w:r>
            <w:r>
              <w:rPr>
                <w:color w:val="231F20"/>
                <w:spacing w:val="-2"/>
                <w:sz w:val="14"/>
              </w:rPr>
              <w:t>(57%)</w:t>
            </w:r>
          </w:p>
        </w:tc>
        <w:tc>
          <w:tcPr>
            <w:tcW w:w="273" w:type="dxa"/>
            <w:tcBorders>
              <w:top w:val="single" w:sz="4" w:space="0" w:color="231F20"/>
            </w:tcBorders>
          </w:tcPr>
          <w:p w14:paraId="3FA13D8E" w14:textId="77777777" w:rsidR="00B322A0" w:rsidRDefault="00B322A0">
            <w:pPr>
              <w:pStyle w:val="TableParagraph"/>
              <w:spacing w:line="240" w:lineRule="auto"/>
              <w:ind w:left="0"/>
              <w:jc w:val="left"/>
              <w:rPr>
                <w:sz w:val="12"/>
              </w:rPr>
            </w:pPr>
          </w:p>
        </w:tc>
      </w:tr>
      <w:tr w:rsidR="00B322A0" w14:paraId="642EEC2F" w14:textId="77777777">
        <w:trPr>
          <w:trHeight w:val="160"/>
        </w:trPr>
        <w:tc>
          <w:tcPr>
            <w:tcW w:w="1103" w:type="dxa"/>
          </w:tcPr>
          <w:p w14:paraId="07BAE3EA" w14:textId="77777777" w:rsidR="00B322A0" w:rsidRDefault="00000000">
            <w:pPr>
              <w:pStyle w:val="TableParagraph"/>
              <w:ind w:left="140" w:right="153"/>
              <w:rPr>
                <w:i/>
                <w:sz w:val="14"/>
              </w:rPr>
            </w:pPr>
            <w:r>
              <w:rPr>
                <w:i/>
                <w:color w:val="231F20"/>
                <w:spacing w:val="-2"/>
                <w:sz w:val="14"/>
              </w:rPr>
              <w:t>CMKAR4</w:t>
            </w:r>
          </w:p>
        </w:tc>
        <w:tc>
          <w:tcPr>
            <w:tcW w:w="1735" w:type="dxa"/>
          </w:tcPr>
          <w:p w14:paraId="27C63FFB" w14:textId="77777777" w:rsidR="00B322A0" w:rsidRDefault="00000000">
            <w:pPr>
              <w:pStyle w:val="TableParagraph"/>
              <w:ind w:left="416"/>
              <w:jc w:val="left"/>
              <w:rPr>
                <w:sz w:val="14"/>
              </w:rPr>
            </w:pPr>
            <w:r>
              <w:rPr>
                <w:color w:val="231F20"/>
                <w:sz w:val="14"/>
              </w:rPr>
              <w:t xml:space="preserve">8/10 </w:t>
            </w:r>
            <w:r>
              <w:rPr>
                <w:color w:val="231F20"/>
                <w:spacing w:val="-2"/>
                <w:sz w:val="14"/>
              </w:rPr>
              <w:t>(80%)</w:t>
            </w:r>
          </w:p>
        </w:tc>
        <w:tc>
          <w:tcPr>
            <w:tcW w:w="867" w:type="dxa"/>
          </w:tcPr>
          <w:p w14:paraId="7B914DF5" w14:textId="77777777" w:rsidR="00B322A0" w:rsidRDefault="00000000">
            <w:pPr>
              <w:pStyle w:val="TableParagraph"/>
              <w:ind w:left="203"/>
              <w:jc w:val="left"/>
              <w:rPr>
                <w:sz w:val="14"/>
              </w:rPr>
            </w:pPr>
            <w:r>
              <w:rPr>
                <w:color w:val="231F20"/>
                <w:spacing w:val="-5"/>
                <w:sz w:val="14"/>
              </w:rPr>
              <w:t>0/5</w:t>
            </w:r>
          </w:p>
        </w:tc>
        <w:tc>
          <w:tcPr>
            <w:tcW w:w="1178" w:type="dxa"/>
          </w:tcPr>
          <w:p w14:paraId="10689EAD" w14:textId="77777777" w:rsidR="00B322A0" w:rsidRDefault="00000000">
            <w:pPr>
              <w:pStyle w:val="TableParagraph"/>
              <w:ind w:left="296"/>
              <w:jc w:val="left"/>
              <w:rPr>
                <w:sz w:val="14"/>
              </w:rPr>
            </w:pPr>
            <w:r>
              <w:rPr>
                <w:color w:val="231F20"/>
                <w:sz w:val="14"/>
              </w:rPr>
              <w:t xml:space="preserve">1/5 </w:t>
            </w:r>
            <w:r>
              <w:rPr>
                <w:color w:val="231F20"/>
                <w:spacing w:val="-2"/>
                <w:sz w:val="14"/>
              </w:rPr>
              <w:t>(20%)</w:t>
            </w:r>
          </w:p>
        </w:tc>
        <w:tc>
          <w:tcPr>
            <w:tcW w:w="932" w:type="dxa"/>
          </w:tcPr>
          <w:p w14:paraId="189C1144" w14:textId="77777777" w:rsidR="00B322A0" w:rsidRDefault="00000000">
            <w:pPr>
              <w:pStyle w:val="TableParagraph"/>
              <w:ind w:left="311"/>
              <w:jc w:val="left"/>
              <w:rPr>
                <w:sz w:val="14"/>
              </w:rPr>
            </w:pPr>
            <w:r>
              <w:rPr>
                <w:color w:val="231F20"/>
                <w:sz w:val="14"/>
              </w:rPr>
              <w:t xml:space="preserve">1/5 </w:t>
            </w:r>
            <w:r>
              <w:rPr>
                <w:color w:val="231F20"/>
                <w:spacing w:val="-2"/>
                <w:sz w:val="14"/>
              </w:rPr>
              <w:t>(20%)</w:t>
            </w:r>
          </w:p>
        </w:tc>
        <w:tc>
          <w:tcPr>
            <w:tcW w:w="2033" w:type="dxa"/>
          </w:tcPr>
          <w:p w14:paraId="364F1CF2" w14:textId="77777777" w:rsidR="00B322A0" w:rsidRDefault="00000000">
            <w:pPr>
              <w:pStyle w:val="TableParagraph"/>
              <w:ind w:left="572"/>
              <w:jc w:val="left"/>
              <w:rPr>
                <w:sz w:val="14"/>
              </w:rPr>
            </w:pPr>
            <w:r>
              <w:rPr>
                <w:color w:val="231F20"/>
                <w:sz w:val="14"/>
              </w:rPr>
              <w:t xml:space="preserve">10/28 </w:t>
            </w:r>
            <w:r>
              <w:rPr>
                <w:color w:val="231F20"/>
                <w:spacing w:val="-2"/>
                <w:sz w:val="14"/>
              </w:rPr>
              <w:t>(36%)</w:t>
            </w:r>
          </w:p>
        </w:tc>
        <w:tc>
          <w:tcPr>
            <w:tcW w:w="1151" w:type="dxa"/>
          </w:tcPr>
          <w:p w14:paraId="14162F15" w14:textId="77777777" w:rsidR="00B322A0" w:rsidRDefault="00000000">
            <w:pPr>
              <w:pStyle w:val="TableParagraph"/>
              <w:ind w:left="0" w:right="356"/>
              <w:jc w:val="right"/>
              <w:rPr>
                <w:sz w:val="14"/>
              </w:rPr>
            </w:pPr>
            <w:r>
              <w:rPr>
                <w:color w:val="231F20"/>
                <w:sz w:val="14"/>
              </w:rPr>
              <w:t xml:space="preserve">8/26 </w:t>
            </w:r>
            <w:r>
              <w:rPr>
                <w:color w:val="231F20"/>
                <w:spacing w:val="-2"/>
                <w:sz w:val="14"/>
              </w:rPr>
              <w:t>(31%)</w:t>
            </w:r>
          </w:p>
        </w:tc>
        <w:tc>
          <w:tcPr>
            <w:tcW w:w="1056" w:type="dxa"/>
          </w:tcPr>
          <w:p w14:paraId="3218F0D4" w14:textId="77777777" w:rsidR="00B322A0" w:rsidRDefault="00000000">
            <w:pPr>
              <w:pStyle w:val="TableParagraph"/>
              <w:ind w:left="0" w:right="38"/>
              <w:jc w:val="right"/>
              <w:rPr>
                <w:sz w:val="14"/>
              </w:rPr>
            </w:pPr>
            <w:r>
              <w:rPr>
                <w:color w:val="231F20"/>
                <w:sz w:val="14"/>
              </w:rPr>
              <w:t xml:space="preserve">9/70 </w:t>
            </w:r>
            <w:r>
              <w:rPr>
                <w:color w:val="231F20"/>
                <w:spacing w:val="-2"/>
                <w:sz w:val="14"/>
              </w:rPr>
              <w:t>(13%)</w:t>
            </w:r>
          </w:p>
        </w:tc>
        <w:tc>
          <w:tcPr>
            <w:tcW w:w="273" w:type="dxa"/>
          </w:tcPr>
          <w:p w14:paraId="01DBB156" w14:textId="77777777" w:rsidR="00B322A0" w:rsidRDefault="00B322A0">
            <w:pPr>
              <w:pStyle w:val="TableParagraph"/>
              <w:spacing w:line="240" w:lineRule="auto"/>
              <w:ind w:left="0"/>
              <w:jc w:val="left"/>
              <w:rPr>
                <w:sz w:val="10"/>
              </w:rPr>
            </w:pPr>
          </w:p>
        </w:tc>
      </w:tr>
      <w:tr w:rsidR="00B322A0" w14:paraId="0367E3DC" w14:textId="77777777">
        <w:trPr>
          <w:trHeight w:val="160"/>
        </w:trPr>
        <w:tc>
          <w:tcPr>
            <w:tcW w:w="1103" w:type="dxa"/>
          </w:tcPr>
          <w:p w14:paraId="7727ACE7" w14:textId="77777777" w:rsidR="00B322A0" w:rsidRDefault="00000000">
            <w:pPr>
              <w:pStyle w:val="TableParagraph"/>
              <w:ind w:left="23" w:right="153"/>
              <w:rPr>
                <w:i/>
                <w:sz w:val="14"/>
              </w:rPr>
            </w:pPr>
            <w:r>
              <w:rPr>
                <w:i/>
                <w:color w:val="231F20"/>
                <w:spacing w:val="-2"/>
                <w:sz w:val="14"/>
              </w:rPr>
              <w:t>PRDX1</w:t>
            </w:r>
          </w:p>
        </w:tc>
        <w:tc>
          <w:tcPr>
            <w:tcW w:w="1735" w:type="dxa"/>
          </w:tcPr>
          <w:p w14:paraId="482104FE" w14:textId="77777777" w:rsidR="00B322A0" w:rsidRDefault="00000000">
            <w:pPr>
              <w:pStyle w:val="TableParagraph"/>
              <w:ind w:left="416"/>
              <w:jc w:val="left"/>
              <w:rPr>
                <w:sz w:val="14"/>
              </w:rPr>
            </w:pPr>
            <w:r>
              <w:rPr>
                <w:color w:val="231F20"/>
                <w:sz w:val="14"/>
              </w:rPr>
              <w:t xml:space="preserve">3/10 </w:t>
            </w:r>
            <w:r>
              <w:rPr>
                <w:color w:val="231F20"/>
                <w:spacing w:val="-2"/>
                <w:sz w:val="14"/>
              </w:rPr>
              <w:t>(30%)</w:t>
            </w:r>
          </w:p>
        </w:tc>
        <w:tc>
          <w:tcPr>
            <w:tcW w:w="867" w:type="dxa"/>
          </w:tcPr>
          <w:p w14:paraId="35C94D7B" w14:textId="77777777" w:rsidR="00B322A0" w:rsidRDefault="00000000">
            <w:pPr>
              <w:pStyle w:val="TableParagraph"/>
              <w:ind w:left="203"/>
              <w:jc w:val="left"/>
              <w:rPr>
                <w:sz w:val="14"/>
              </w:rPr>
            </w:pPr>
            <w:r>
              <w:rPr>
                <w:color w:val="231F20"/>
                <w:spacing w:val="-5"/>
                <w:sz w:val="14"/>
              </w:rPr>
              <w:t>0/5</w:t>
            </w:r>
          </w:p>
        </w:tc>
        <w:tc>
          <w:tcPr>
            <w:tcW w:w="1178" w:type="dxa"/>
          </w:tcPr>
          <w:p w14:paraId="06AE2CEC" w14:textId="77777777" w:rsidR="00B322A0" w:rsidRDefault="00000000">
            <w:pPr>
              <w:pStyle w:val="TableParagraph"/>
              <w:ind w:left="296"/>
              <w:jc w:val="left"/>
              <w:rPr>
                <w:sz w:val="14"/>
              </w:rPr>
            </w:pPr>
            <w:r>
              <w:rPr>
                <w:color w:val="231F20"/>
                <w:spacing w:val="-5"/>
                <w:sz w:val="14"/>
              </w:rPr>
              <w:t>0/5</w:t>
            </w:r>
          </w:p>
        </w:tc>
        <w:tc>
          <w:tcPr>
            <w:tcW w:w="932" w:type="dxa"/>
          </w:tcPr>
          <w:p w14:paraId="62FE06EA" w14:textId="77777777" w:rsidR="00B322A0" w:rsidRDefault="00000000">
            <w:pPr>
              <w:pStyle w:val="TableParagraph"/>
              <w:ind w:left="311"/>
              <w:jc w:val="left"/>
              <w:rPr>
                <w:sz w:val="14"/>
              </w:rPr>
            </w:pPr>
            <w:r>
              <w:rPr>
                <w:color w:val="231F20"/>
                <w:sz w:val="14"/>
              </w:rPr>
              <w:t xml:space="preserve">1/5 </w:t>
            </w:r>
            <w:r>
              <w:rPr>
                <w:color w:val="231F20"/>
                <w:spacing w:val="-2"/>
                <w:sz w:val="14"/>
              </w:rPr>
              <w:t>(20%)</w:t>
            </w:r>
          </w:p>
        </w:tc>
        <w:tc>
          <w:tcPr>
            <w:tcW w:w="2033" w:type="dxa"/>
          </w:tcPr>
          <w:p w14:paraId="465C2D27" w14:textId="77777777" w:rsidR="00B322A0" w:rsidRDefault="00000000">
            <w:pPr>
              <w:pStyle w:val="TableParagraph"/>
              <w:ind w:left="642"/>
              <w:jc w:val="left"/>
              <w:rPr>
                <w:sz w:val="14"/>
              </w:rPr>
            </w:pPr>
            <w:r>
              <w:rPr>
                <w:color w:val="231F20"/>
                <w:sz w:val="14"/>
              </w:rPr>
              <w:t xml:space="preserve">4/28 </w:t>
            </w:r>
            <w:r>
              <w:rPr>
                <w:color w:val="231F20"/>
                <w:spacing w:val="-2"/>
                <w:sz w:val="14"/>
              </w:rPr>
              <w:t>(14%)</w:t>
            </w:r>
          </w:p>
        </w:tc>
        <w:tc>
          <w:tcPr>
            <w:tcW w:w="1151" w:type="dxa"/>
          </w:tcPr>
          <w:p w14:paraId="593D0B75" w14:textId="77777777" w:rsidR="00B322A0" w:rsidRDefault="00000000">
            <w:pPr>
              <w:pStyle w:val="TableParagraph"/>
              <w:ind w:left="0" w:right="356"/>
              <w:jc w:val="right"/>
              <w:rPr>
                <w:sz w:val="14"/>
              </w:rPr>
            </w:pPr>
            <w:r>
              <w:rPr>
                <w:color w:val="231F20"/>
                <w:sz w:val="14"/>
              </w:rPr>
              <w:t xml:space="preserve">14/24 </w:t>
            </w:r>
            <w:r>
              <w:rPr>
                <w:color w:val="231F20"/>
                <w:spacing w:val="-2"/>
                <w:sz w:val="14"/>
              </w:rPr>
              <w:t>(58%)</w:t>
            </w:r>
          </w:p>
        </w:tc>
        <w:tc>
          <w:tcPr>
            <w:tcW w:w="1056" w:type="dxa"/>
          </w:tcPr>
          <w:p w14:paraId="15ED5CA0" w14:textId="77777777" w:rsidR="00B322A0" w:rsidRDefault="00000000">
            <w:pPr>
              <w:pStyle w:val="TableParagraph"/>
              <w:ind w:left="382"/>
              <w:jc w:val="left"/>
              <w:rPr>
                <w:sz w:val="14"/>
              </w:rPr>
            </w:pPr>
            <w:r>
              <w:rPr>
                <w:color w:val="231F20"/>
                <w:sz w:val="14"/>
              </w:rPr>
              <w:t xml:space="preserve">2/74 </w:t>
            </w:r>
            <w:r>
              <w:rPr>
                <w:color w:val="231F20"/>
                <w:spacing w:val="-4"/>
                <w:sz w:val="14"/>
              </w:rPr>
              <w:t>(3%)</w:t>
            </w:r>
          </w:p>
        </w:tc>
        <w:tc>
          <w:tcPr>
            <w:tcW w:w="273" w:type="dxa"/>
          </w:tcPr>
          <w:p w14:paraId="4E0726CA" w14:textId="77777777" w:rsidR="00B322A0" w:rsidRDefault="00B322A0">
            <w:pPr>
              <w:pStyle w:val="TableParagraph"/>
              <w:spacing w:line="240" w:lineRule="auto"/>
              <w:ind w:left="0"/>
              <w:jc w:val="left"/>
              <w:rPr>
                <w:sz w:val="10"/>
              </w:rPr>
            </w:pPr>
          </w:p>
        </w:tc>
      </w:tr>
      <w:tr w:rsidR="00B322A0" w14:paraId="584AFC9A" w14:textId="77777777">
        <w:trPr>
          <w:trHeight w:val="185"/>
        </w:trPr>
        <w:tc>
          <w:tcPr>
            <w:tcW w:w="1103" w:type="dxa"/>
            <w:tcBorders>
              <w:bottom w:val="single" w:sz="4" w:space="0" w:color="231F20"/>
            </w:tcBorders>
          </w:tcPr>
          <w:p w14:paraId="439D258B" w14:textId="77777777" w:rsidR="00B322A0" w:rsidRDefault="00000000">
            <w:pPr>
              <w:pStyle w:val="TableParagraph"/>
              <w:spacing w:line="158" w:lineRule="exact"/>
              <w:ind w:left="0" w:right="153"/>
              <w:rPr>
                <w:i/>
                <w:sz w:val="14"/>
              </w:rPr>
            </w:pPr>
            <w:r>
              <w:rPr>
                <w:i/>
                <w:color w:val="231F20"/>
                <w:spacing w:val="-2"/>
                <w:sz w:val="14"/>
              </w:rPr>
              <w:t>CSRP2</w:t>
            </w:r>
          </w:p>
        </w:tc>
        <w:tc>
          <w:tcPr>
            <w:tcW w:w="1735" w:type="dxa"/>
            <w:tcBorders>
              <w:bottom w:val="single" w:sz="4" w:space="0" w:color="231F20"/>
            </w:tcBorders>
          </w:tcPr>
          <w:p w14:paraId="7EB62F4B" w14:textId="77777777" w:rsidR="00B322A0" w:rsidRDefault="00000000">
            <w:pPr>
              <w:pStyle w:val="TableParagraph"/>
              <w:spacing w:line="158" w:lineRule="exact"/>
              <w:ind w:left="416"/>
              <w:jc w:val="left"/>
              <w:rPr>
                <w:sz w:val="14"/>
              </w:rPr>
            </w:pPr>
            <w:r>
              <w:rPr>
                <w:color w:val="231F20"/>
                <w:sz w:val="14"/>
              </w:rPr>
              <w:t xml:space="preserve">1/10 </w:t>
            </w:r>
            <w:r>
              <w:rPr>
                <w:color w:val="231F20"/>
                <w:spacing w:val="-2"/>
                <w:sz w:val="14"/>
              </w:rPr>
              <w:t>(10%)</w:t>
            </w:r>
          </w:p>
        </w:tc>
        <w:tc>
          <w:tcPr>
            <w:tcW w:w="867" w:type="dxa"/>
            <w:tcBorders>
              <w:bottom w:val="single" w:sz="4" w:space="0" w:color="231F20"/>
            </w:tcBorders>
          </w:tcPr>
          <w:p w14:paraId="2E413C5E" w14:textId="77777777" w:rsidR="00B322A0" w:rsidRDefault="00000000">
            <w:pPr>
              <w:pStyle w:val="TableParagraph"/>
              <w:spacing w:line="158" w:lineRule="exact"/>
              <w:ind w:left="203"/>
              <w:jc w:val="left"/>
              <w:rPr>
                <w:sz w:val="14"/>
              </w:rPr>
            </w:pPr>
            <w:r>
              <w:rPr>
                <w:color w:val="231F20"/>
                <w:spacing w:val="-5"/>
                <w:sz w:val="14"/>
              </w:rPr>
              <w:t>0/5</w:t>
            </w:r>
          </w:p>
        </w:tc>
        <w:tc>
          <w:tcPr>
            <w:tcW w:w="1178" w:type="dxa"/>
            <w:tcBorders>
              <w:bottom w:val="single" w:sz="4" w:space="0" w:color="231F20"/>
            </w:tcBorders>
          </w:tcPr>
          <w:p w14:paraId="17B5C030" w14:textId="77777777" w:rsidR="00B322A0" w:rsidRDefault="00000000">
            <w:pPr>
              <w:pStyle w:val="TableParagraph"/>
              <w:spacing w:line="158" w:lineRule="exact"/>
              <w:ind w:left="296"/>
              <w:jc w:val="left"/>
              <w:rPr>
                <w:sz w:val="14"/>
              </w:rPr>
            </w:pPr>
            <w:r>
              <w:rPr>
                <w:color w:val="231F20"/>
                <w:spacing w:val="-5"/>
                <w:sz w:val="14"/>
              </w:rPr>
              <w:t>0/4</w:t>
            </w:r>
          </w:p>
        </w:tc>
        <w:tc>
          <w:tcPr>
            <w:tcW w:w="932" w:type="dxa"/>
            <w:tcBorders>
              <w:bottom w:val="single" w:sz="4" w:space="0" w:color="231F20"/>
            </w:tcBorders>
          </w:tcPr>
          <w:p w14:paraId="329AA357" w14:textId="77777777" w:rsidR="00B322A0" w:rsidRDefault="00000000">
            <w:pPr>
              <w:pStyle w:val="TableParagraph"/>
              <w:spacing w:line="158" w:lineRule="exact"/>
              <w:ind w:left="311"/>
              <w:jc w:val="left"/>
              <w:rPr>
                <w:sz w:val="14"/>
              </w:rPr>
            </w:pPr>
            <w:r>
              <w:rPr>
                <w:color w:val="231F20"/>
                <w:spacing w:val="-5"/>
                <w:sz w:val="14"/>
              </w:rPr>
              <w:t>0/5</w:t>
            </w:r>
          </w:p>
        </w:tc>
        <w:tc>
          <w:tcPr>
            <w:tcW w:w="2033" w:type="dxa"/>
            <w:tcBorders>
              <w:bottom w:val="single" w:sz="4" w:space="0" w:color="231F20"/>
            </w:tcBorders>
          </w:tcPr>
          <w:p w14:paraId="71791965" w14:textId="77777777" w:rsidR="00B322A0" w:rsidRDefault="00000000">
            <w:pPr>
              <w:pStyle w:val="TableParagraph"/>
              <w:spacing w:line="158" w:lineRule="exact"/>
              <w:ind w:left="642"/>
              <w:jc w:val="left"/>
              <w:rPr>
                <w:sz w:val="14"/>
              </w:rPr>
            </w:pPr>
            <w:r>
              <w:rPr>
                <w:color w:val="231F20"/>
                <w:sz w:val="14"/>
              </w:rPr>
              <w:t xml:space="preserve">4/28 </w:t>
            </w:r>
            <w:r>
              <w:rPr>
                <w:color w:val="231F20"/>
                <w:spacing w:val="-2"/>
                <w:sz w:val="14"/>
              </w:rPr>
              <w:t>(14%)</w:t>
            </w:r>
          </w:p>
        </w:tc>
        <w:tc>
          <w:tcPr>
            <w:tcW w:w="1151" w:type="dxa"/>
            <w:tcBorders>
              <w:bottom w:val="single" w:sz="4" w:space="0" w:color="231F20"/>
            </w:tcBorders>
          </w:tcPr>
          <w:p w14:paraId="4DD01AE5" w14:textId="77777777" w:rsidR="00B322A0" w:rsidRDefault="00000000">
            <w:pPr>
              <w:pStyle w:val="TableParagraph"/>
              <w:spacing w:line="158" w:lineRule="exact"/>
              <w:ind w:left="0" w:right="356"/>
              <w:jc w:val="right"/>
              <w:rPr>
                <w:sz w:val="14"/>
              </w:rPr>
            </w:pPr>
            <w:r>
              <w:rPr>
                <w:color w:val="231F20"/>
                <w:sz w:val="14"/>
              </w:rPr>
              <w:t xml:space="preserve">6/24 </w:t>
            </w:r>
            <w:r>
              <w:rPr>
                <w:color w:val="231F20"/>
                <w:spacing w:val="-2"/>
                <w:sz w:val="14"/>
              </w:rPr>
              <w:t>(25%)</w:t>
            </w:r>
          </w:p>
        </w:tc>
        <w:tc>
          <w:tcPr>
            <w:tcW w:w="1056" w:type="dxa"/>
            <w:tcBorders>
              <w:bottom w:val="single" w:sz="4" w:space="0" w:color="231F20"/>
            </w:tcBorders>
          </w:tcPr>
          <w:p w14:paraId="43A4AFEA" w14:textId="77777777" w:rsidR="00B322A0" w:rsidRDefault="00000000">
            <w:pPr>
              <w:pStyle w:val="TableParagraph"/>
              <w:spacing w:line="158" w:lineRule="exact"/>
              <w:ind w:left="0" w:right="38"/>
              <w:jc w:val="right"/>
              <w:rPr>
                <w:sz w:val="14"/>
              </w:rPr>
            </w:pPr>
            <w:r>
              <w:rPr>
                <w:color w:val="231F20"/>
                <w:sz w:val="14"/>
              </w:rPr>
              <w:t xml:space="preserve">11/70 </w:t>
            </w:r>
            <w:r>
              <w:rPr>
                <w:color w:val="231F20"/>
                <w:spacing w:val="-2"/>
                <w:sz w:val="14"/>
              </w:rPr>
              <w:t>(16%)</w:t>
            </w:r>
          </w:p>
        </w:tc>
        <w:tc>
          <w:tcPr>
            <w:tcW w:w="273" w:type="dxa"/>
            <w:tcBorders>
              <w:bottom w:val="single" w:sz="4" w:space="0" w:color="231F20"/>
            </w:tcBorders>
          </w:tcPr>
          <w:p w14:paraId="1FFD6CFE" w14:textId="77777777" w:rsidR="00B322A0" w:rsidRDefault="00B322A0">
            <w:pPr>
              <w:pStyle w:val="TableParagraph"/>
              <w:spacing w:line="240" w:lineRule="auto"/>
              <w:ind w:left="0"/>
              <w:jc w:val="left"/>
              <w:rPr>
                <w:sz w:val="12"/>
              </w:rPr>
            </w:pPr>
          </w:p>
        </w:tc>
      </w:tr>
    </w:tbl>
    <w:p w14:paraId="4FC97FDA" w14:textId="77777777" w:rsidR="00B322A0" w:rsidRDefault="00B322A0">
      <w:pPr>
        <w:rPr>
          <w:sz w:val="12"/>
        </w:rPr>
        <w:sectPr w:rsidR="00B322A0" w:rsidSect="00BA4BCE">
          <w:type w:val="continuous"/>
          <w:pgSz w:w="11700" w:h="15660"/>
          <w:pgMar w:top="420" w:right="560" w:bottom="920" w:left="600" w:header="428" w:footer="719" w:gutter="0"/>
          <w:cols w:space="720"/>
        </w:sectPr>
      </w:pPr>
    </w:p>
    <w:p w14:paraId="003ABB38" w14:textId="77777777" w:rsidR="00B322A0" w:rsidRDefault="00000000">
      <w:pPr>
        <w:pStyle w:val="Textoindependiente"/>
        <w:spacing w:before="186" w:line="256" w:lineRule="auto"/>
        <w:ind w:right="38"/>
        <w:jc w:val="both"/>
      </w:pPr>
      <w:r>
        <w:rPr>
          <w:noProof/>
        </w:rPr>
        <w:lastRenderedPageBreak/>
        <mc:AlternateContent>
          <mc:Choice Requires="wps">
            <w:drawing>
              <wp:anchor distT="0" distB="0" distL="0" distR="0" simplePos="0" relativeHeight="15734784" behindDoc="0" locked="0" layoutInCell="1" allowOverlap="1" wp14:anchorId="115ECE9C" wp14:editId="7D28F529">
                <wp:simplePos x="0" y="0"/>
                <wp:positionH relativeFrom="page">
                  <wp:posOffset>7108425</wp:posOffset>
                </wp:positionH>
                <wp:positionV relativeFrom="page">
                  <wp:posOffset>1928114</wp:posOffset>
                </wp:positionV>
                <wp:extent cx="111125" cy="619950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63523465"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30">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115ECE9C" id="Textbox 20" o:spid="_x0000_s1032" type="#_x0000_t202" style="position:absolute;left:0;text-align:left;margin-left:559.7pt;margin-top:151.8pt;width:8.75pt;height:488.15pt;z-index:15734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" filled="f" stroked="f">
                <v:textbox style="layout-flow:vertical" inset="0,0,0,0">
                  <w:txbxContent>
                    <w:p w14:paraId="63523465"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31">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r>
        <w:rPr>
          <w:color w:val="231F20"/>
        </w:rPr>
        <w:t>of drug-resistant colonies and the demonstration that each gene was re-expressed, we found that the genetic restoration of any of these genes was sufficient to significantly decrease colony formation, 80% for</w:t>
      </w:r>
      <w:r>
        <w:rPr>
          <w:color w:val="231F20"/>
          <w:spacing w:val="-7"/>
        </w:rPr>
        <w:t xml:space="preserve"> </w:t>
      </w:r>
      <w:r>
        <w:rPr>
          <w:i/>
          <w:color w:val="231F20"/>
        </w:rPr>
        <w:t>CSRP2</w:t>
      </w:r>
      <w:r>
        <w:rPr>
          <w:i/>
          <w:color w:val="231F20"/>
          <w:spacing w:val="-7"/>
        </w:rPr>
        <w:t xml:space="preserve"> </w:t>
      </w:r>
      <w:r>
        <w:rPr>
          <w:color w:val="231F20"/>
        </w:rPr>
        <w:t>and</w:t>
      </w:r>
      <w:r>
        <w:rPr>
          <w:color w:val="231F20"/>
          <w:spacing w:val="-7"/>
        </w:rPr>
        <w:t xml:space="preserve"> </w:t>
      </w:r>
      <w:r>
        <w:rPr>
          <w:color w:val="231F20"/>
        </w:rPr>
        <w:t>90%</w:t>
      </w:r>
      <w:r>
        <w:rPr>
          <w:color w:val="231F20"/>
          <w:spacing w:val="-7"/>
        </w:rPr>
        <w:t xml:space="preserve"> </w:t>
      </w:r>
      <w:r>
        <w:rPr>
          <w:color w:val="231F20"/>
        </w:rPr>
        <w:t>for</w:t>
      </w:r>
      <w:r>
        <w:rPr>
          <w:color w:val="231F20"/>
          <w:spacing w:val="-7"/>
        </w:rPr>
        <w:t xml:space="preserve"> </w:t>
      </w:r>
      <w:r>
        <w:rPr>
          <w:i/>
          <w:color w:val="231F20"/>
        </w:rPr>
        <w:t>IGFBP3</w:t>
      </w:r>
      <w:r>
        <w:rPr>
          <w:color w:val="231F20"/>
        </w:rPr>
        <w:t>,</w:t>
      </w:r>
      <w:r>
        <w:rPr>
          <w:color w:val="231F20"/>
          <w:spacing w:val="-7"/>
        </w:rPr>
        <w:t xml:space="preserve"> </w:t>
      </w:r>
      <w:r>
        <w:rPr>
          <w:color w:val="231F20"/>
        </w:rPr>
        <w:t>as</w:t>
      </w:r>
      <w:r>
        <w:rPr>
          <w:color w:val="231F20"/>
          <w:spacing w:val="-7"/>
        </w:rPr>
        <w:t xml:space="preserve"> </w:t>
      </w:r>
      <w:r>
        <w:rPr>
          <w:color w:val="231F20"/>
        </w:rPr>
        <w:t>did</w:t>
      </w:r>
      <w:r>
        <w:rPr>
          <w:color w:val="231F20"/>
          <w:spacing w:val="-7"/>
        </w:rPr>
        <w:t xml:space="preserve"> </w:t>
      </w:r>
      <w:r>
        <w:rPr>
          <w:color w:val="231F20"/>
        </w:rPr>
        <w:t>our</w:t>
      </w:r>
      <w:r>
        <w:rPr>
          <w:color w:val="231F20"/>
          <w:spacing w:val="-7"/>
        </w:rPr>
        <w:t xml:space="preserve"> </w:t>
      </w:r>
      <w:r>
        <w:rPr>
          <w:color w:val="231F20"/>
        </w:rPr>
        <w:t>positive</w:t>
      </w:r>
      <w:r>
        <w:rPr>
          <w:color w:val="231F20"/>
          <w:spacing w:val="-7"/>
        </w:rPr>
        <w:t xml:space="preserve"> </w:t>
      </w:r>
      <w:r>
        <w:rPr>
          <w:color w:val="231F20"/>
        </w:rPr>
        <w:t>control</w:t>
      </w:r>
      <w:r>
        <w:rPr>
          <w:color w:val="231F20"/>
          <w:spacing w:val="-7"/>
        </w:rPr>
        <w:t xml:space="preserve"> </w:t>
      </w:r>
      <w:r>
        <w:rPr>
          <w:i/>
          <w:color w:val="231F20"/>
        </w:rPr>
        <w:t>p53</w:t>
      </w:r>
      <w:r>
        <w:rPr>
          <w:i/>
          <w:color w:val="231F20"/>
          <w:spacing w:val="-7"/>
        </w:rPr>
        <w:t xml:space="preserve"> </w:t>
      </w:r>
      <w:r>
        <w:rPr>
          <w:color w:val="231F20"/>
        </w:rPr>
        <w:t xml:space="preserve">(95% reduction) or </w:t>
      </w:r>
      <w:r>
        <w:rPr>
          <w:i/>
          <w:color w:val="231F20"/>
        </w:rPr>
        <w:t>p16</w:t>
      </w:r>
      <w:r>
        <w:rPr>
          <w:i/>
          <w:color w:val="231F20"/>
          <w:vertAlign w:val="superscript"/>
        </w:rPr>
        <w:t>INK4a</w:t>
      </w:r>
      <w:r>
        <w:rPr>
          <w:i/>
          <w:color w:val="231F20"/>
        </w:rPr>
        <w:t xml:space="preserve"> </w:t>
      </w:r>
      <w:r>
        <w:rPr>
          <w:color w:val="231F20"/>
        </w:rPr>
        <w:t xml:space="preserve">(90% reduction), but not in the case of the mutant </w:t>
      </w:r>
      <w:r>
        <w:rPr>
          <w:i/>
          <w:color w:val="231F20"/>
        </w:rPr>
        <w:t xml:space="preserve">p53 </w:t>
      </w:r>
      <w:r>
        <w:rPr>
          <w:color w:val="231F20"/>
        </w:rPr>
        <w:t xml:space="preserve">or </w:t>
      </w:r>
      <w:r>
        <w:rPr>
          <w:i/>
          <w:color w:val="231F20"/>
        </w:rPr>
        <w:t>p16</w:t>
      </w:r>
      <w:r>
        <w:rPr>
          <w:i/>
          <w:color w:val="231F20"/>
          <w:vertAlign w:val="superscript"/>
        </w:rPr>
        <w:t>INK4a</w:t>
      </w:r>
      <w:r>
        <w:rPr>
          <w:i/>
          <w:color w:val="231F20"/>
        </w:rPr>
        <w:t xml:space="preserve"> </w:t>
      </w:r>
      <w:r>
        <w:rPr>
          <w:color w:val="231F20"/>
        </w:rPr>
        <w:t xml:space="preserve">forms or the empty vectors. A representative experiment for </w:t>
      </w:r>
      <w:r>
        <w:rPr>
          <w:i/>
          <w:color w:val="231F20"/>
        </w:rPr>
        <w:t xml:space="preserve">CSRP2 </w:t>
      </w:r>
      <w:r>
        <w:rPr>
          <w:color w:val="231F20"/>
        </w:rPr>
        <w:t>is shown in Fig. 5</w:t>
      </w:r>
      <w:r>
        <w:rPr>
          <w:i/>
          <w:color w:val="231F20"/>
        </w:rPr>
        <w:t>D</w:t>
      </w:r>
      <w:r>
        <w:rPr>
          <w:color w:val="231F20"/>
        </w:rPr>
        <w:t>.</w:t>
      </w:r>
    </w:p>
    <w:p w14:paraId="682D11D5" w14:textId="77777777" w:rsidR="00B322A0" w:rsidRDefault="00B322A0">
      <w:pPr>
        <w:pStyle w:val="Textoindependiente"/>
        <w:spacing w:before="30"/>
        <w:ind w:left="0"/>
      </w:pPr>
    </w:p>
    <w:p w14:paraId="241204F4" w14:textId="77777777" w:rsidR="00B322A0" w:rsidRDefault="00000000">
      <w:pPr>
        <w:pStyle w:val="Ttulo1"/>
      </w:pPr>
      <w:r>
        <w:rPr>
          <w:color w:val="231F20"/>
          <w:spacing w:val="-2"/>
        </w:rPr>
        <w:t>Discussion</w:t>
      </w:r>
    </w:p>
    <w:p w14:paraId="6254CE12" w14:textId="77777777" w:rsidR="00B322A0" w:rsidRDefault="00000000">
      <w:pPr>
        <w:pStyle w:val="Textoindependiente"/>
        <w:spacing w:before="155" w:line="256" w:lineRule="auto"/>
        <w:ind w:right="38" w:firstLine="180"/>
        <w:jc w:val="both"/>
      </w:pPr>
      <w:r>
        <w:rPr>
          <w:color w:val="231F20"/>
        </w:rPr>
        <w:t>In the genesis and progression of cancer an interplay between genetic and environmental factors occurs. Epigenetics, understood as a</w:t>
      </w:r>
      <w:r>
        <w:rPr>
          <w:color w:val="231F20"/>
          <w:spacing w:val="-5"/>
        </w:rPr>
        <w:t xml:space="preserve"> </w:t>
      </w:r>
      <w:r>
        <w:rPr>
          <w:color w:val="231F20"/>
        </w:rPr>
        <w:t>mechanism</w:t>
      </w:r>
      <w:r>
        <w:rPr>
          <w:color w:val="231F20"/>
          <w:spacing w:val="-5"/>
        </w:rPr>
        <w:t xml:space="preserve"> </w:t>
      </w:r>
      <w:r>
        <w:rPr>
          <w:color w:val="231F20"/>
        </w:rPr>
        <w:t>of</w:t>
      </w:r>
      <w:r>
        <w:rPr>
          <w:color w:val="231F20"/>
          <w:spacing w:val="-5"/>
        </w:rPr>
        <w:t xml:space="preserve"> </w:t>
      </w:r>
      <w:r>
        <w:rPr>
          <w:color w:val="231F20"/>
        </w:rPr>
        <w:t>conferring</w:t>
      </w:r>
      <w:r>
        <w:rPr>
          <w:color w:val="231F20"/>
          <w:spacing w:val="-5"/>
        </w:rPr>
        <w:t xml:space="preserve"> </w:t>
      </w:r>
      <w:r>
        <w:rPr>
          <w:color w:val="231F20"/>
        </w:rPr>
        <w:t>heritable</w:t>
      </w:r>
      <w:r>
        <w:rPr>
          <w:color w:val="231F20"/>
          <w:spacing w:val="-5"/>
        </w:rPr>
        <w:t xml:space="preserve"> </w:t>
      </w:r>
      <w:r>
        <w:rPr>
          <w:color w:val="231F20"/>
        </w:rPr>
        <w:t>states</w:t>
      </w:r>
      <w:r>
        <w:rPr>
          <w:color w:val="231F20"/>
          <w:spacing w:val="-5"/>
        </w:rPr>
        <w:t xml:space="preserve"> </w:t>
      </w:r>
      <w:r>
        <w:rPr>
          <w:color w:val="231F20"/>
        </w:rPr>
        <w:t>of</w:t>
      </w:r>
      <w:r>
        <w:rPr>
          <w:color w:val="231F20"/>
          <w:spacing w:val="-5"/>
        </w:rPr>
        <w:t xml:space="preserve"> </w:t>
      </w:r>
      <w:r>
        <w:rPr>
          <w:color w:val="231F20"/>
        </w:rPr>
        <w:t>gene</w:t>
      </w:r>
      <w:r>
        <w:rPr>
          <w:color w:val="231F20"/>
          <w:spacing w:val="-5"/>
        </w:rPr>
        <w:t xml:space="preserve"> </w:t>
      </w:r>
      <w:r>
        <w:rPr>
          <w:color w:val="231F20"/>
        </w:rPr>
        <w:t>expression</w:t>
      </w:r>
      <w:r>
        <w:rPr>
          <w:color w:val="231F20"/>
          <w:spacing w:val="-5"/>
        </w:rPr>
        <w:t xml:space="preserve"> </w:t>
      </w:r>
      <w:r>
        <w:rPr>
          <w:color w:val="231F20"/>
        </w:rPr>
        <w:t>without altering the DNA sequence, is now established as an important factor in tumorigenesis, largely represented by DNA methylation and histone modifications. Although CpG island hypermethylation- associated silencing of tumor suppressor genes (</w:t>
      </w:r>
      <w:r>
        <w:rPr>
          <w:i/>
          <w:color w:val="231F20"/>
        </w:rPr>
        <w:t>BRCA1</w:t>
      </w:r>
      <w:r>
        <w:rPr>
          <w:color w:val="231F20"/>
        </w:rPr>
        <w:t xml:space="preserve">, </w:t>
      </w:r>
      <w:r>
        <w:rPr>
          <w:i/>
          <w:color w:val="231F20"/>
        </w:rPr>
        <w:t xml:space="preserve">MLH1, </w:t>
      </w:r>
      <w:r>
        <w:rPr>
          <w:color w:val="231F20"/>
        </w:rPr>
        <w:t>and so</w:t>
      </w:r>
      <w:r>
        <w:rPr>
          <w:color w:val="231F20"/>
          <w:spacing w:val="-7"/>
        </w:rPr>
        <w:t xml:space="preserve"> </w:t>
      </w:r>
      <w:r>
        <w:rPr>
          <w:color w:val="231F20"/>
        </w:rPr>
        <w:t>forth)</w:t>
      </w:r>
      <w:r>
        <w:rPr>
          <w:color w:val="231F20"/>
          <w:spacing w:val="-7"/>
        </w:rPr>
        <w:t xml:space="preserve"> </w:t>
      </w:r>
      <w:r>
        <w:rPr>
          <w:color w:val="231F20"/>
        </w:rPr>
        <w:t>and</w:t>
      </w:r>
      <w:r>
        <w:rPr>
          <w:color w:val="231F20"/>
          <w:spacing w:val="-7"/>
        </w:rPr>
        <w:t xml:space="preserve"> </w:t>
      </w:r>
      <w:r>
        <w:rPr>
          <w:color w:val="231F20"/>
        </w:rPr>
        <w:t>global</w:t>
      </w:r>
      <w:r>
        <w:rPr>
          <w:color w:val="231F20"/>
          <w:spacing w:val="-7"/>
        </w:rPr>
        <w:t xml:space="preserve"> </w:t>
      </w:r>
      <w:r>
        <w:rPr>
          <w:color w:val="231F20"/>
        </w:rPr>
        <w:t>genomic</w:t>
      </w:r>
      <w:r>
        <w:rPr>
          <w:color w:val="231F20"/>
          <w:spacing w:val="-7"/>
        </w:rPr>
        <w:t xml:space="preserve"> </w:t>
      </w:r>
      <w:r>
        <w:rPr>
          <w:color w:val="231F20"/>
        </w:rPr>
        <w:t>hypomethylation</w:t>
      </w:r>
      <w:r>
        <w:rPr>
          <w:color w:val="231F20"/>
          <w:spacing w:val="-7"/>
        </w:rPr>
        <w:t xml:space="preserve"> </w:t>
      </w:r>
      <w:r>
        <w:rPr>
          <w:color w:val="231F20"/>
        </w:rPr>
        <w:t>are</w:t>
      </w:r>
      <w:r>
        <w:rPr>
          <w:color w:val="231F20"/>
          <w:spacing w:val="-7"/>
        </w:rPr>
        <w:t xml:space="preserve"> </w:t>
      </w:r>
      <w:r>
        <w:rPr>
          <w:color w:val="231F20"/>
        </w:rPr>
        <w:t>accepted</w:t>
      </w:r>
      <w:r>
        <w:rPr>
          <w:color w:val="231F20"/>
          <w:spacing w:val="-7"/>
        </w:rPr>
        <w:t xml:space="preserve"> </w:t>
      </w:r>
      <w:r>
        <w:rPr>
          <w:color w:val="231F20"/>
        </w:rPr>
        <w:t>as</w:t>
      </w:r>
      <w:r>
        <w:rPr>
          <w:color w:val="231F20"/>
          <w:spacing w:val="-7"/>
        </w:rPr>
        <w:t xml:space="preserve"> </w:t>
      </w:r>
      <w:r>
        <w:rPr>
          <w:color w:val="231F20"/>
        </w:rPr>
        <w:t>playing a fundamental role in cancer we are still in the early stages of understanding</w:t>
      </w:r>
      <w:r>
        <w:rPr>
          <w:color w:val="231F20"/>
          <w:spacing w:val="-4"/>
        </w:rPr>
        <w:t xml:space="preserve"> </w:t>
      </w:r>
      <w:r>
        <w:rPr>
          <w:color w:val="231F20"/>
        </w:rPr>
        <w:t>the</w:t>
      </w:r>
      <w:r>
        <w:rPr>
          <w:color w:val="231F20"/>
          <w:spacing w:val="-4"/>
        </w:rPr>
        <w:t xml:space="preserve"> </w:t>
      </w:r>
      <w:r>
        <w:rPr>
          <w:color w:val="231F20"/>
        </w:rPr>
        <w:t>timing</w:t>
      </w:r>
      <w:r>
        <w:rPr>
          <w:color w:val="231F20"/>
          <w:spacing w:val="-4"/>
        </w:rPr>
        <w:t xml:space="preserve"> </w:t>
      </w:r>
      <w:r>
        <w:rPr>
          <w:color w:val="231F20"/>
        </w:rPr>
        <w:t>and</w:t>
      </w:r>
      <w:r>
        <w:rPr>
          <w:color w:val="231F20"/>
          <w:spacing w:val="-4"/>
        </w:rPr>
        <w:t xml:space="preserve"> </w:t>
      </w:r>
      <w:r>
        <w:rPr>
          <w:color w:val="231F20"/>
        </w:rPr>
        <w:t>hierarchy</w:t>
      </w:r>
      <w:r>
        <w:rPr>
          <w:color w:val="231F20"/>
          <w:spacing w:val="-4"/>
        </w:rPr>
        <w:t xml:space="preserve"> </w:t>
      </w:r>
      <w:r>
        <w:rPr>
          <w:color w:val="231F20"/>
        </w:rPr>
        <w:t>of</w:t>
      </w:r>
      <w:r>
        <w:rPr>
          <w:color w:val="231F20"/>
          <w:spacing w:val="-4"/>
        </w:rPr>
        <w:t xml:space="preserve"> </w:t>
      </w:r>
      <w:r>
        <w:rPr>
          <w:color w:val="231F20"/>
        </w:rPr>
        <w:t>epigenetic</w:t>
      </w:r>
      <w:r>
        <w:rPr>
          <w:color w:val="231F20"/>
          <w:spacing w:val="-4"/>
        </w:rPr>
        <w:t xml:space="preserve"> </w:t>
      </w:r>
      <w:r>
        <w:rPr>
          <w:color w:val="231F20"/>
        </w:rPr>
        <w:t>lesions</w:t>
      </w:r>
      <w:r>
        <w:rPr>
          <w:color w:val="231F20"/>
          <w:spacing w:val="-4"/>
        </w:rPr>
        <w:t xml:space="preserve"> </w:t>
      </w:r>
      <w:r>
        <w:rPr>
          <w:color w:val="231F20"/>
        </w:rPr>
        <w:t>and</w:t>
      </w:r>
      <w:r>
        <w:rPr>
          <w:color w:val="231F20"/>
          <w:spacing w:val="-4"/>
        </w:rPr>
        <w:t xml:space="preserve"> </w:t>
      </w:r>
      <w:r>
        <w:rPr>
          <w:color w:val="231F20"/>
        </w:rPr>
        <w:t>their cross-talk with genetic and environmental factors. We have defined the</w:t>
      </w:r>
      <w:r>
        <w:rPr>
          <w:color w:val="231F20"/>
          <w:spacing w:val="-7"/>
        </w:rPr>
        <w:t xml:space="preserve"> </w:t>
      </w:r>
      <w:r>
        <w:rPr>
          <w:color w:val="231F20"/>
        </w:rPr>
        <w:t>DNA</w:t>
      </w:r>
      <w:r>
        <w:rPr>
          <w:color w:val="231F20"/>
          <w:spacing w:val="-7"/>
        </w:rPr>
        <w:t xml:space="preserve"> </w:t>
      </w:r>
      <w:r>
        <w:rPr>
          <w:color w:val="231F20"/>
        </w:rPr>
        <w:t>methylation</w:t>
      </w:r>
      <w:r>
        <w:rPr>
          <w:color w:val="231F20"/>
          <w:spacing w:val="-7"/>
        </w:rPr>
        <w:t xml:space="preserve"> </w:t>
      </w:r>
      <w:r>
        <w:rPr>
          <w:color w:val="231F20"/>
        </w:rPr>
        <w:t>status</w:t>
      </w:r>
      <w:r>
        <w:rPr>
          <w:color w:val="231F20"/>
          <w:spacing w:val="-7"/>
        </w:rPr>
        <w:t xml:space="preserve"> </w:t>
      </w:r>
      <w:r>
        <w:rPr>
          <w:color w:val="231F20"/>
        </w:rPr>
        <w:t>of</w:t>
      </w:r>
      <w:r>
        <w:rPr>
          <w:color w:val="231F20"/>
          <w:spacing w:val="-7"/>
        </w:rPr>
        <w:t xml:space="preserve"> </w:t>
      </w:r>
      <w:r>
        <w:rPr>
          <w:color w:val="231F20"/>
        </w:rPr>
        <w:t>a</w:t>
      </w:r>
      <w:r>
        <w:rPr>
          <w:color w:val="231F20"/>
          <w:spacing w:val="-7"/>
        </w:rPr>
        <w:t xml:space="preserve"> </w:t>
      </w:r>
      <w:r>
        <w:rPr>
          <w:color w:val="231F20"/>
        </w:rPr>
        <w:t>well-known</w:t>
      </w:r>
      <w:r>
        <w:rPr>
          <w:color w:val="231F20"/>
          <w:spacing w:val="-7"/>
        </w:rPr>
        <w:t xml:space="preserve"> </w:t>
      </w:r>
      <w:r>
        <w:rPr>
          <w:color w:val="231F20"/>
        </w:rPr>
        <w:t>carcinogenic</w:t>
      </w:r>
      <w:r>
        <w:rPr>
          <w:color w:val="231F20"/>
          <w:spacing w:val="-7"/>
        </w:rPr>
        <w:t xml:space="preserve"> </w:t>
      </w:r>
      <w:r>
        <w:rPr>
          <w:color w:val="231F20"/>
        </w:rPr>
        <w:t>system,</w:t>
      </w:r>
      <w:r>
        <w:rPr>
          <w:color w:val="231F20"/>
          <w:spacing w:val="-7"/>
        </w:rPr>
        <w:t xml:space="preserve"> </w:t>
      </w:r>
      <w:r>
        <w:rPr>
          <w:color w:val="231F20"/>
        </w:rPr>
        <w:t xml:space="preserve">the mouse skin multistage progression model (7–14), and demonstrated the cumulative appearance of aberrant DNA methylation and its </w:t>
      </w:r>
      <w:r>
        <w:rPr>
          <w:color w:val="231F20"/>
          <w:spacing w:val="-2"/>
        </w:rPr>
        <w:t>lesions.</w:t>
      </w:r>
    </w:p>
    <w:p w14:paraId="6A7262AD" w14:textId="77777777" w:rsidR="00B322A0" w:rsidRDefault="00000000">
      <w:pPr>
        <w:pStyle w:val="Textoindependiente"/>
        <w:spacing w:line="256" w:lineRule="auto"/>
        <w:ind w:right="38" w:firstLine="180"/>
        <w:jc w:val="both"/>
      </w:pPr>
      <w:r>
        <w:rPr>
          <w:color w:val="231F20"/>
        </w:rPr>
        <w:t>It is clear that the genome-wide loss of 5-methylcytosine is a molecular hallmark associated with the acquisition of a transformed phenotype. The first decrease in overall 5-methylcytosine levels was seen during the early stages of benign tumor growth. A second, more precipitous drop occurred when the cancer cells changed from an epithelial phenotype to a highly metastatic dedifferentiated/spindle morphology.</w:t>
      </w:r>
      <w:r>
        <w:rPr>
          <w:color w:val="231F20"/>
          <w:spacing w:val="-1"/>
        </w:rPr>
        <w:t xml:space="preserve"> </w:t>
      </w:r>
      <w:r>
        <w:rPr>
          <w:color w:val="231F20"/>
        </w:rPr>
        <w:t>These</w:t>
      </w:r>
      <w:r>
        <w:rPr>
          <w:color w:val="231F20"/>
          <w:spacing w:val="-1"/>
        </w:rPr>
        <w:t xml:space="preserve"> </w:t>
      </w:r>
      <w:r>
        <w:rPr>
          <w:color w:val="231F20"/>
        </w:rPr>
        <w:t>data</w:t>
      </w:r>
      <w:r>
        <w:rPr>
          <w:color w:val="231F20"/>
          <w:spacing w:val="-1"/>
        </w:rPr>
        <w:t xml:space="preserve"> </w:t>
      </w:r>
      <w:r>
        <w:rPr>
          <w:color w:val="231F20"/>
        </w:rPr>
        <w:t>support</w:t>
      </w:r>
      <w:r>
        <w:rPr>
          <w:color w:val="231F20"/>
          <w:spacing w:val="-1"/>
        </w:rPr>
        <w:t xml:space="preserve"> </w:t>
      </w:r>
      <w:r>
        <w:rPr>
          <w:color w:val="231F20"/>
        </w:rPr>
        <w:t>the</w:t>
      </w:r>
      <w:r>
        <w:rPr>
          <w:color w:val="231F20"/>
          <w:spacing w:val="-1"/>
        </w:rPr>
        <w:t xml:space="preserve"> </w:t>
      </w:r>
      <w:r>
        <w:rPr>
          <w:color w:val="231F20"/>
        </w:rPr>
        <w:t>use</w:t>
      </w:r>
      <w:r>
        <w:rPr>
          <w:color w:val="231F20"/>
          <w:spacing w:val="-1"/>
        </w:rPr>
        <w:t xml:space="preserve"> </w:t>
      </w:r>
      <w:r>
        <w:rPr>
          <w:color w:val="231F20"/>
        </w:rPr>
        <w:t>of</w:t>
      </w:r>
      <w:r>
        <w:rPr>
          <w:color w:val="231F20"/>
          <w:spacing w:val="-1"/>
        </w:rPr>
        <w:t xml:space="preserve"> </w:t>
      </w:r>
      <w:r>
        <w:rPr>
          <w:color w:val="231F20"/>
        </w:rPr>
        <w:t>genomic</w:t>
      </w:r>
      <w:r>
        <w:rPr>
          <w:color w:val="231F20"/>
          <w:spacing w:val="-1"/>
        </w:rPr>
        <w:t xml:space="preserve"> </w:t>
      </w:r>
      <w:r>
        <w:rPr>
          <w:color w:val="231F20"/>
        </w:rPr>
        <w:t>hypomethylation levels as a biomarker of tumor aggressiveness. These results confirm that global genomic hypomethylation does not exist as a static pre- defined</w:t>
      </w:r>
      <w:r>
        <w:rPr>
          <w:color w:val="231F20"/>
          <w:spacing w:val="-2"/>
        </w:rPr>
        <w:t xml:space="preserve"> </w:t>
      </w:r>
      <w:r>
        <w:rPr>
          <w:color w:val="231F20"/>
        </w:rPr>
        <w:t>value</w:t>
      </w:r>
      <w:r>
        <w:rPr>
          <w:color w:val="231F20"/>
          <w:spacing w:val="-2"/>
        </w:rPr>
        <w:t xml:space="preserve"> </w:t>
      </w:r>
      <w:r>
        <w:rPr>
          <w:color w:val="231F20"/>
        </w:rPr>
        <w:t>throughout</w:t>
      </w:r>
      <w:r>
        <w:rPr>
          <w:color w:val="231F20"/>
          <w:spacing w:val="-2"/>
        </w:rPr>
        <w:t xml:space="preserve"> </w:t>
      </w:r>
      <w:r>
        <w:rPr>
          <w:color w:val="231F20"/>
        </w:rPr>
        <w:t>the</w:t>
      </w:r>
      <w:r>
        <w:rPr>
          <w:color w:val="231F20"/>
          <w:spacing w:val="-2"/>
        </w:rPr>
        <w:t xml:space="preserve"> </w:t>
      </w:r>
      <w:r>
        <w:rPr>
          <w:color w:val="231F20"/>
        </w:rPr>
        <w:t>process</w:t>
      </w:r>
      <w:r>
        <w:rPr>
          <w:color w:val="231F20"/>
          <w:spacing w:val="-2"/>
        </w:rPr>
        <w:t xml:space="preserve"> </w:t>
      </w:r>
      <w:r>
        <w:rPr>
          <w:color w:val="231F20"/>
        </w:rPr>
        <w:t>of</w:t>
      </w:r>
      <w:r>
        <w:rPr>
          <w:color w:val="231F20"/>
          <w:spacing w:val="-2"/>
        </w:rPr>
        <w:t xml:space="preserve"> </w:t>
      </w:r>
      <w:r>
        <w:rPr>
          <w:color w:val="231F20"/>
        </w:rPr>
        <w:t>carcinogenesis</w:t>
      </w:r>
      <w:r>
        <w:rPr>
          <w:color w:val="231F20"/>
          <w:spacing w:val="-2"/>
        </w:rPr>
        <w:t xml:space="preserve"> </w:t>
      </w:r>
      <w:r>
        <w:rPr>
          <w:color w:val="231F20"/>
        </w:rPr>
        <w:t>but</w:t>
      </w:r>
      <w:r>
        <w:rPr>
          <w:color w:val="231F20"/>
          <w:spacing w:val="-2"/>
        </w:rPr>
        <w:t xml:space="preserve"> </w:t>
      </w:r>
      <w:r>
        <w:rPr>
          <w:color w:val="231F20"/>
        </w:rPr>
        <w:t>rather</w:t>
      </w:r>
      <w:r>
        <w:rPr>
          <w:color w:val="231F20"/>
          <w:spacing w:val="-2"/>
        </w:rPr>
        <w:t xml:space="preserve"> </w:t>
      </w:r>
      <w:r>
        <w:rPr>
          <w:color w:val="231F20"/>
        </w:rPr>
        <w:t>as</w:t>
      </w:r>
      <w:r>
        <w:rPr>
          <w:color w:val="231F20"/>
          <w:spacing w:val="-2"/>
        </w:rPr>
        <w:t xml:space="preserve"> </w:t>
      </w:r>
      <w:r>
        <w:rPr>
          <w:color w:val="231F20"/>
        </w:rPr>
        <w:t>a dynamic</w:t>
      </w:r>
      <w:r>
        <w:rPr>
          <w:color w:val="231F20"/>
          <w:spacing w:val="-5"/>
        </w:rPr>
        <w:t xml:space="preserve"> </w:t>
      </w:r>
      <w:r>
        <w:rPr>
          <w:color w:val="231F20"/>
        </w:rPr>
        <w:t>parameter.</w:t>
      </w:r>
      <w:r>
        <w:rPr>
          <w:color w:val="231F20"/>
          <w:spacing w:val="-5"/>
        </w:rPr>
        <w:t xml:space="preserve"> </w:t>
      </w:r>
      <w:r>
        <w:rPr>
          <w:color w:val="231F20"/>
        </w:rPr>
        <w:t>Our</w:t>
      </w:r>
      <w:r>
        <w:rPr>
          <w:color w:val="231F20"/>
          <w:spacing w:val="-5"/>
        </w:rPr>
        <w:t xml:space="preserve"> </w:t>
      </w:r>
      <w:r>
        <w:rPr>
          <w:color w:val="231F20"/>
        </w:rPr>
        <w:t>data,</w:t>
      </w:r>
      <w:r>
        <w:rPr>
          <w:color w:val="231F20"/>
          <w:spacing w:val="-5"/>
        </w:rPr>
        <w:t xml:space="preserve"> </w:t>
      </w:r>
      <w:r>
        <w:rPr>
          <w:color w:val="231F20"/>
        </w:rPr>
        <w:t>together</w:t>
      </w:r>
      <w:r>
        <w:rPr>
          <w:color w:val="231F20"/>
          <w:spacing w:val="-5"/>
        </w:rPr>
        <w:t xml:space="preserve"> </w:t>
      </w:r>
      <w:r>
        <w:rPr>
          <w:color w:val="231F20"/>
        </w:rPr>
        <w:t>with</w:t>
      </w:r>
      <w:r>
        <w:rPr>
          <w:color w:val="231F20"/>
          <w:spacing w:val="-5"/>
        </w:rPr>
        <w:t xml:space="preserve"> </w:t>
      </w:r>
      <w:r>
        <w:rPr>
          <w:color w:val="231F20"/>
        </w:rPr>
        <w:t>recent</w:t>
      </w:r>
      <w:r>
        <w:rPr>
          <w:color w:val="231F20"/>
          <w:spacing w:val="-5"/>
        </w:rPr>
        <w:t xml:space="preserve"> </w:t>
      </w:r>
      <w:r>
        <w:rPr>
          <w:color w:val="231F20"/>
        </w:rPr>
        <w:t>experiments</w:t>
      </w:r>
      <w:r>
        <w:rPr>
          <w:color w:val="231F20"/>
          <w:spacing w:val="-5"/>
        </w:rPr>
        <w:t xml:space="preserve"> </w:t>
      </w:r>
      <w:r>
        <w:rPr>
          <w:color w:val="231F20"/>
        </w:rPr>
        <w:t>show- ing an enhanced tumorigenicity and chromosomal instability in the mouse</w:t>
      </w:r>
      <w:r>
        <w:rPr>
          <w:color w:val="231F20"/>
          <w:spacing w:val="-3"/>
        </w:rPr>
        <w:t xml:space="preserve"> </w:t>
      </w:r>
      <w:r>
        <w:rPr>
          <w:color w:val="231F20"/>
        </w:rPr>
        <w:t>with</w:t>
      </w:r>
      <w:r>
        <w:rPr>
          <w:color w:val="231F20"/>
          <w:spacing w:val="-3"/>
        </w:rPr>
        <w:t xml:space="preserve"> </w:t>
      </w:r>
      <w:r>
        <w:rPr>
          <w:color w:val="231F20"/>
        </w:rPr>
        <w:t>hypomorphic</w:t>
      </w:r>
      <w:r>
        <w:rPr>
          <w:color w:val="231F20"/>
          <w:spacing w:val="-3"/>
        </w:rPr>
        <w:t xml:space="preserve"> </w:t>
      </w:r>
      <w:r>
        <w:rPr>
          <w:color w:val="231F20"/>
        </w:rPr>
        <w:t>alleles</w:t>
      </w:r>
      <w:r>
        <w:rPr>
          <w:color w:val="231F20"/>
          <w:spacing w:val="-3"/>
        </w:rPr>
        <w:t xml:space="preserve"> </w:t>
      </w:r>
      <w:r>
        <w:rPr>
          <w:color w:val="231F20"/>
        </w:rPr>
        <w:t>of</w:t>
      </w:r>
      <w:r>
        <w:rPr>
          <w:color w:val="231F20"/>
          <w:spacing w:val="-3"/>
        </w:rPr>
        <w:t xml:space="preserve"> </w:t>
      </w:r>
      <w:r>
        <w:rPr>
          <w:color w:val="231F20"/>
        </w:rPr>
        <w:t>the</w:t>
      </w:r>
      <w:r>
        <w:rPr>
          <w:color w:val="231F20"/>
          <w:spacing w:val="-3"/>
        </w:rPr>
        <w:t xml:space="preserve"> </w:t>
      </w:r>
      <w:r>
        <w:rPr>
          <w:color w:val="231F20"/>
        </w:rPr>
        <w:t>DNA</w:t>
      </w:r>
      <w:r>
        <w:rPr>
          <w:color w:val="231F20"/>
          <w:spacing w:val="-3"/>
        </w:rPr>
        <w:t xml:space="preserve"> </w:t>
      </w:r>
      <w:r>
        <w:rPr>
          <w:color w:val="231F20"/>
        </w:rPr>
        <w:t>methyltransferases</w:t>
      </w:r>
      <w:r>
        <w:rPr>
          <w:color w:val="231F20"/>
          <w:spacing w:val="-3"/>
        </w:rPr>
        <w:t xml:space="preserve"> </w:t>
      </w:r>
      <w:r>
        <w:rPr>
          <w:color w:val="231F20"/>
        </w:rPr>
        <w:t xml:space="preserve">(35), suggests an important role for DNA hypomethylation in malignant </w:t>
      </w:r>
      <w:r>
        <w:rPr>
          <w:color w:val="231F20"/>
          <w:spacing w:val="-2"/>
        </w:rPr>
        <w:t>transformation.</w:t>
      </w:r>
    </w:p>
    <w:p w14:paraId="41407465" w14:textId="77777777" w:rsidR="00B322A0" w:rsidRDefault="00000000">
      <w:pPr>
        <w:pStyle w:val="Textoindependiente"/>
        <w:spacing w:line="256" w:lineRule="auto"/>
        <w:ind w:right="38" w:firstLine="180"/>
        <w:jc w:val="both"/>
      </w:pPr>
      <w:r>
        <w:rPr>
          <w:color w:val="231F20"/>
        </w:rPr>
        <w:t>Cancer epigenetics studies cannot be fully understood if we do not determine the relevance of the silencing of tumor suppressor genes associated with CpG island hypermethylation and its histone modifi- cations and chromatin-linked changes. In this study, using candidate gene and demethylating microarray expression approaches, we have shown</w:t>
      </w:r>
      <w:r>
        <w:rPr>
          <w:color w:val="231F20"/>
          <w:spacing w:val="-10"/>
        </w:rPr>
        <w:t xml:space="preserve"> </w:t>
      </w:r>
      <w:r>
        <w:rPr>
          <w:color w:val="231F20"/>
        </w:rPr>
        <w:t>that</w:t>
      </w:r>
      <w:r>
        <w:rPr>
          <w:color w:val="231F20"/>
          <w:spacing w:val="-10"/>
        </w:rPr>
        <w:t xml:space="preserve"> </w:t>
      </w:r>
      <w:r>
        <w:rPr>
          <w:color w:val="231F20"/>
        </w:rPr>
        <w:t>cancer</w:t>
      </w:r>
      <w:r>
        <w:rPr>
          <w:color w:val="231F20"/>
          <w:spacing w:val="-10"/>
        </w:rPr>
        <w:t xml:space="preserve"> </w:t>
      </w:r>
      <w:r>
        <w:rPr>
          <w:color w:val="231F20"/>
        </w:rPr>
        <w:t>cells</w:t>
      </w:r>
      <w:r>
        <w:rPr>
          <w:color w:val="231F20"/>
          <w:spacing w:val="-10"/>
        </w:rPr>
        <w:t xml:space="preserve"> </w:t>
      </w:r>
      <w:r>
        <w:rPr>
          <w:color w:val="231F20"/>
        </w:rPr>
        <w:t>accumulate</w:t>
      </w:r>
      <w:r>
        <w:rPr>
          <w:color w:val="231F20"/>
          <w:spacing w:val="-10"/>
        </w:rPr>
        <w:t xml:space="preserve"> </w:t>
      </w:r>
      <w:r>
        <w:rPr>
          <w:color w:val="231F20"/>
        </w:rPr>
        <w:t>methylation-mediated</w:t>
      </w:r>
      <w:r>
        <w:rPr>
          <w:color w:val="231F20"/>
          <w:spacing w:val="-10"/>
        </w:rPr>
        <w:t xml:space="preserve"> </w:t>
      </w:r>
      <w:r>
        <w:rPr>
          <w:color w:val="231F20"/>
        </w:rPr>
        <w:t>gene</w:t>
      </w:r>
      <w:r>
        <w:rPr>
          <w:color w:val="231F20"/>
          <w:spacing w:val="-10"/>
        </w:rPr>
        <w:t xml:space="preserve"> </w:t>
      </w:r>
      <w:r>
        <w:rPr>
          <w:color w:val="231F20"/>
        </w:rPr>
        <w:t>silenc- ing from the early to the advanced carcinogenic stages. Whereas normal skin (or any other normal tissue) presents unmethylated CpG islands, in the earliest step in the process, when we just established immortalized cells (MCA3D), numerous gene promoters become hy- permethylated and silenced. Thus, it has also been suggested by the finding of gene hypermethylation in static studies of premalignant lesions,</w:t>
      </w:r>
      <w:r>
        <w:rPr>
          <w:color w:val="231F20"/>
          <w:spacing w:val="-5"/>
        </w:rPr>
        <w:t xml:space="preserve"> </w:t>
      </w:r>
      <w:r>
        <w:rPr>
          <w:color w:val="231F20"/>
        </w:rPr>
        <w:t>such</w:t>
      </w:r>
      <w:r>
        <w:rPr>
          <w:color w:val="231F20"/>
          <w:spacing w:val="-5"/>
        </w:rPr>
        <w:t xml:space="preserve"> </w:t>
      </w:r>
      <w:r>
        <w:rPr>
          <w:color w:val="231F20"/>
        </w:rPr>
        <w:t>as</w:t>
      </w:r>
      <w:r>
        <w:rPr>
          <w:color w:val="231F20"/>
          <w:spacing w:val="-5"/>
        </w:rPr>
        <w:t xml:space="preserve"> </w:t>
      </w:r>
      <w:r>
        <w:rPr>
          <w:color w:val="231F20"/>
        </w:rPr>
        <w:t>colorectal</w:t>
      </w:r>
      <w:r>
        <w:rPr>
          <w:color w:val="231F20"/>
          <w:spacing w:val="-5"/>
        </w:rPr>
        <w:t xml:space="preserve"> </w:t>
      </w:r>
      <w:r>
        <w:rPr>
          <w:color w:val="231F20"/>
        </w:rPr>
        <w:t>and</w:t>
      </w:r>
      <w:r>
        <w:rPr>
          <w:color w:val="231F20"/>
          <w:spacing w:val="-5"/>
        </w:rPr>
        <w:t xml:space="preserve"> </w:t>
      </w:r>
      <w:r>
        <w:rPr>
          <w:color w:val="231F20"/>
        </w:rPr>
        <w:t>gastric</w:t>
      </w:r>
      <w:r>
        <w:rPr>
          <w:color w:val="231F20"/>
          <w:spacing w:val="-5"/>
        </w:rPr>
        <w:t xml:space="preserve"> </w:t>
      </w:r>
      <w:r>
        <w:rPr>
          <w:color w:val="231F20"/>
        </w:rPr>
        <w:t>adenomas,</w:t>
      </w:r>
      <w:r>
        <w:rPr>
          <w:color w:val="231F20"/>
          <w:spacing w:val="-5"/>
        </w:rPr>
        <w:t xml:space="preserve"> </w:t>
      </w:r>
      <w:r>
        <w:rPr>
          <w:color w:val="231F20"/>
        </w:rPr>
        <w:t>uterine</w:t>
      </w:r>
      <w:r>
        <w:rPr>
          <w:color w:val="231F20"/>
          <w:spacing w:val="-5"/>
        </w:rPr>
        <w:t xml:space="preserve"> </w:t>
      </w:r>
      <w:r>
        <w:rPr>
          <w:color w:val="231F20"/>
        </w:rPr>
        <w:t>hyperplasias, or ulcerative colitis (2), the epigenetic silencing of tumor suppressor genes is one of the most precocious hits in tumorigenesis.</w:t>
      </w:r>
    </w:p>
    <w:p w14:paraId="60BE0F98" w14:textId="77777777" w:rsidR="00B322A0" w:rsidRDefault="00000000">
      <w:pPr>
        <w:pStyle w:val="Textoindependiente"/>
        <w:spacing w:line="256" w:lineRule="auto"/>
        <w:ind w:right="38" w:firstLine="180"/>
        <w:jc w:val="both"/>
      </w:pPr>
      <w:r>
        <w:rPr>
          <w:color w:val="231F20"/>
        </w:rPr>
        <w:t>A dynamic profile of CpG island methylation within a set of a set of genes involved in cell adhesion can be especially relevant to the process of metastasis. E-cadherin is a protein largely involved in</w:t>
      </w:r>
      <w:r>
        <w:rPr>
          <w:color w:val="231F20"/>
          <w:spacing w:val="80"/>
        </w:rPr>
        <w:t xml:space="preserve"> </w:t>
      </w:r>
      <w:r>
        <w:rPr>
          <w:color w:val="231F20"/>
        </w:rPr>
        <w:t xml:space="preserve">cell-cell adhesion of epithelial tissues. Loss of </w:t>
      </w:r>
      <w:r>
        <w:rPr>
          <w:i/>
          <w:color w:val="231F20"/>
        </w:rPr>
        <w:t xml:space="preserve">E-cadherin </w:t>
      </w:r>
      <w:r>
        <w:rPr>
          <w:color w:val="231F20"/>
        </w:rPr>
        <w:t xml:space="preserve">expression has been casually linked to acquisition of invasiveness, and </w:t>
      </w:r>
      <w:r>
        <w:rPr>
          <w:i/>
          <w:color w:val="231F20"/>
        </w:rPr>
        <w:t>E- cadherin</w:t>
      </w:r>
      <w:r>
        <w:rPr>
          <w:i/>
          <w:color w:val="231F20"/>
          <w:spacing w:val="-4"/>
        </w:rPr>
        <w:t xml:space="preserve"> </w:t>
      </w:r>
      <w:r>
        <w:rPr>
          <w:color w:val="231F20"/>
        </w:rPr>
        <w:t>methylation-associated</w:t>
      </w:r>
      <w:r>
        <w:rPr>
          <w:color w:val="231F20"/>
          <w:spacing w:val="-4"/>
        </w:rPr>
        <w:t xml:space="preserve"> </w:t>
      </w:r>
      <w:r>
        <w:rPr>
          <w:color w:val="231F20"/>
        </w:rPr>
        <w:t>silencing</w:t>
      </w:r>
      <w:r>
        <w:rPr>
          <w:color w:val="231F20"/>
          <w:spacing w:val="-4"/>
        </w:rPr>
        <w:t xml:space="preserve"> </w:t>
      </w:r>
      <w:r>
        <w:rPr>
          <w:color w:val="231F20"/>
        </w:rPr>
        <w:t>occurs</w:t>
      </w:r>
      <w:r>
        <w:rPr>
          <w:color w:val="231F20"/>
          <w:spacing w:val="-4"/>
        </w:rPr>
        <w:t xml:space="preserve"> </w:t>
      </w:r>
      <w:r>
        <w:rPr>
          <w:color w:val="231F20"/>
        </w:rPr>
        <w:t>in</w:t>
      </w:r>
      <w:r>
        <w:rPr>
          <w:color w:val="231F20"/>
          <w:spacing w:val="-4"/>
        </w:rPr>
        <w:t xml:space="preserve"> </w:t>
      </w:r>
      <w:r>
        <w:rPr>
          <w:color w:val="231F20"/>
        </w:rPr>
        <w:t>human</w:t>
      </w:r>
      <w:r>
        <w:rPr>
          <w:color w:val="231F20"/>
          <w:spacing w:val="-4"/>
        </w:rPr>
        <w:t xml:space="preserve"> </w:t>
      </w:r>
      <w:r>
        <w:rPr>
          <w:color w:val="231F20"/>
        </w:rPr>
        <w:t>cancer</w:t>
      </w:r>
      <w:r>
        <w:rPr>
          <w:color w:val="231F20"/>
          <w:spacing w:val="-4"/>
        </w:rPr>
        <w:t xml:space="preserve"> </w:t>
      </w:r>
      <w:r>
        <w:rPr>
          <w:color w:val="231F20"/>
        </w:rPr>
        <w:t>(2, 3). Interestingly, the subsequent growth of metastases in secondary organs</w:t>
      </w:r>
      <w:r>
        <w:rPr>
          <w:color w:val="231F20"/>
          <w:spacing w:val="13"/>
        </w:rPr>
        <w:t xml:space="preserve"> </w:t>
      </w:r>
      <w:r>
        <w:rPr>
          <w:color w:val="231F20"/>
        </w:rPr>
        <w:t>has</w:t>
      </w:r>
      <w:r>
        <w:rPr>
          <w:color w:val="231F20"/>
          <w:spacing w:val="13"/>
        </w:rPr>
        <w:t xml:space="preserve"> </w:t>
      </w:r>
      <w:r>
        <w:rPr>
          <w:color w:val="231F20"/>
        </w:rPr>
        <w:t>been</w:t>
      </w:r>
      <w:r>
        <w:rPr>
          <w:color w:val="231F20"/>
          <w:spacing w:val="13"/>
        </w:rPr>
        <w:t xml:space="preserve"> </w:t>
      </w:r>
      <w:r>
        <w:rPr>
          <w:color w:val="231F20"/>
        </w:rPr>
        <w:t>related</w:t>
      </w:r>
      <w:r>
        <w:rPr>
          <w:color w:val="231F20"/>
          <w:spacing w:val="13"/>
        </w:rPr>
        <w:t xml:space="preserve"> </w:t>
      </w:r>
      <w:r>
        <w:rPr>
          <w:color w:val="231F20"/>
        </w:rPr>
        <w:t>to</w:t>
      </w:r>
      <w:r>
        <w:rPr>
          <w:color w:val="231F20"/>
          <w:spacing w:val="13"/>
        </w:rPr>
        <w:t xml:space="preserve"> </w:t>
      </w:r>
      <w:r>
        <w:rPr>
          <w:color w:val="231F20"/>
        </w:rPr>
        <w:t>its</w:t>
      </w:r>
      <w:r>
        <w:rPr>
          <w:color w:val="231F20"/>
          <w:spacing w:val="13"/>
        </w:rPr>
        <w:t xml:space="preserve"> </w:t>
      </w:r>
      <w:r>
        <w:rPr>
          <w:color w:val="231F20"/>
        </w:rPr>
        <w:t>re-expression</w:t>
      </w:r>
      <w:r>
        <w:rPr>
          <w:color w:val="231F20"/>
          <w:spacing w:val="13"/>
        </w:rPr>
        <w:t xml:space="preserve"> </w:t>
      </w:r>
      <w:r>
        <w:rPr>
          <w:color w:val="231F20"/>
        </w:rPr>
        <w:t>in</w:t>
      </w:r>
      <w:r>
        <w:rPr>
          <w:color w:val="231F20"/>
          <w:spacing w:val="13"/>
        </w:rPr>
        <w:t xml:space="preserve"> </w:t>
      </w:r>
      <w:r>
        <w:rPr>
          <w:color w:val="231F20"/>
        </w:rPr>
        <w:t>these</w:t>
      </w:r>
      <w:r>
        <w:rPr>
          <w:color w:val="231F20"/>
          <w:spacing w:val="13"/>
        </w:rPr>
        <w:t xml:space="preserve"> </w:t>
      </w:r>
      <w:r>
        <w:rPr>
          <w:color w:val="231F20"/>
        </w:rPr>
        <w:t>distal</w:t>
      </w:r>
      <w:r>
        <w:rPr>
          <w:color w:val="231F20"/>
          <w:spacing w:val="13"/>
        </w:rPr>
        <w:t xml:space="preserve"> </w:t>
      </w:r>
      <w:r>
        <w:rPr>
          <w:color w:val="231F20"/>
        </w:rPr>
        <w:t>sites</w:t>
      </w:r>
      <w:r>
        <w:rPr>
          <w:color w:val="231F20"/>
          <w:spacing w:val="13"/>
        </w:rPr>
        <w:t xml:space="preserve"> </w:t>
      </w:r>
      <w:r>
        <w:rPr>
          <w:color w:val="231F20"/>
          <w:spacing w:val="-2"/>
        </w:rPr>
        <w:t>(36),</w:t>
      </w:r>
    </w:p>
    <w:p w14:paraId="7669304E" w14:textId="77777777" w:rsidR="00B322A0" w:rsidRDefault="00000000">
      <w:pPr>
        <w:pStyle w:val="Textoindependiente"/>
        <w:spacing w:before="186" w:line="254" w:lineRule="auto"/>
        <w:ind w:right="113"/>
        <w:jc w:val="both"/>
      </w:pPr>
      <w:r>
        <w:br w:type="column"/>
      </w:r>
      <w:r>
        <w:rPr>
          <w:color w:val="231F20"/>
        </w:rPr>
        <w:t>and reactivation by demethylation occurs in cancer cells grown in spheroids,</w:t>
      </w:r>
      <w:r>
        <w:rPr>
          <w:color w:val="231F20"/>
          <w:spacing w:val="-2"/>
        </w:rPr>
        <w:t xml:space="preserve"> </w:t>
      </w:r>
      <w:r>
        <w:rPr>
          <w:color w:val="231F20"/>
        </w:rPr>
        <w:t>which</w:t>
      </w:r>
      <w:r>
        <w:rPr>
          <w:color w:val="231F20"/>
          <w:spacing w:val="-2"/>
        </w:rPr>
        <w:t xml:space="preserve"> </w:t>
      </w:r>
      <w:r>
        <w:rPr>
          <w:color w:val="231F20"/>
        </w:rPr>
        <w:t>requires</w:t>
      </w:r>
      <w:r>
        <w:rPr>
          <w:color w:val="231F20"/>
          <w:spacing w:val="-2"/>
        </w:rPr>
        <w:t xml:space="preserve"> </w:t>
      </w:r>
      <w:r>
        <w:rPr>
          <w:color w:val="231F20"/>
        </w:rPr>
        <w:t>homotypic</w:t>
      </w:r>
      <w:r>
        <w:rPr>
          <w:color w:val="231F20"/>
          <w:spacing w:val="-2"/>
        </w:rPr>
        <w:t xml:space="preserve"> </w:t>
      </w:r>
      <w:r>
        <w:rPr>
          <w:color w:val="231F20"/>
        </w:rPr>
        <w:t>cell</w:t>
      </w:r>
      <w:r>
        <w:rPr>
          <w:color w:val="231F20"/>
          <w:spacing w:val="-2"/>
        </w:rPr>
        <w:t xml:space="preserve"> </w:t>
      </w:r>
      <w:r>
        <w:rPr>
          <w:color w:val="231F20"/>
        </w:rPr>
        <w:t>adhesion</w:t>
      </w:r>
      <w:r>
        <w:rPr>
          <w:color w:val="231F20"/>
          <w:spacing w:val="-2"/>
        </w:rPr>
        <w:t xml:space="preserve"> </w:t>
      </w:r>
      <w:r>
        <w:rPr>
          <w:color w:val="231F20"/>
        </w:rPr>
        <w:t>(37).</w:t>
      </w:r>
      <w:r>
        <w:rPr>
          <w:color w:val="231F20"/>
          <w:spacing w:val="-2"/>
        </w:rPr>
        <w:t xml:space="preserve"> </w:t>
      </w:r>
      <w:r>
        <w:rPr>
          <w:color w:val="231F20"/>
        </w:rPr>
        <w:t>In</w:t>
      </w:r>
      <w:r>
        <w:rPr>
          <w:color w:val="231F20"/>
          <w:spacing w:val="-2"/>
        </w:rPr>
        <w:t xml:space="preserve"> </w:t>
      </w:r>
      <w:r>
        <w:rPr>
          <w:color w:val="231F20"/>
        </w:rPr>
        <w:t>the</w:t>
      </w:r>
      <w:r>
        <w:rPr>
          <w:color w:val="231F20"/>
          <w:spacing w:val="-2"/>
        </w:rPr>
        <w:t xml:space="preserve"> </w:t>
      </w:r>
      <w:r>
        <w:rPr>
          <w:color w:val="231F20"/>
        </w:rPr>
        <w:t xml:space="preserve">mouse skin carcinogenesis model, the methylation of </w:t>
      </w:r>
      <w:r>
        <w:rPr>
          <w:i/>
          <w:color w:val="231F20"/>
        </w:rPr>
        <w:t xml:space="preserve">E-cadherin </w:t>
      </w:r>
      <w:r>
        <w:rPr>
          <w:color w:val="231F20"/>
        </w:rPr>
        <w:t>was the single event that most clearly marked the change from epithelial to dedifferentiated</w:t>
      </w:r>
      <w:r>
        <w:rPr>
          <w:color w:val="231F20"/>
          <w:spacing w:val="-3"/>
        </w:rPr>
        <w:t xml:space="preserve"> </w:t>
      </w:r>
      <w:r>
        <w:rPr>
          <w:color w:val="231F20"/>
        </w:rPr>
        <w:t>HaCa4</w:t>
      </w:r>
      <w:r>
        <w:rPr>
          <w:color w:val="231F20"/>
          <w:spacing w:val="-3"/>
        </w:rPr>
        <w:t xml:space="preserve"> </w:t>
      </w:r>
      <w:r>
        <w:rPr>
          <w:color w:val="231F20"/>
        </w:rPr>
        <w:t>cells,</w:t>
      </w:r>
      <w:r>
        <w:rPr>
          <w:color w:val="231F20"/>
          <w:spacing w:val="-3"/>
        </w:rPr>
        <w:t xml:space="preserve"> </w:t>
      </w:r>
      <w:r>
        <w:rPr>
          <w:color w:val="231F20"/>
        </w:rPr>
        <w:t>and</w:t>
      </w:r>
      <w:r>
        <w:rPr>
          <w:color w:val="231F20"/>
          <w:spacing w:val="-3"/>
        </w:rPr>
        <w:t xml:space="preserve"> </w:t>
      </w:r>
      <w:r>
        <w:rPr>
          <w:color w:val="231F20"/>
        </w:rPr>
        <w:t>is</w:t>
      </w:r>
      <w:r>
        <w:rPr>
          <w:color w:val="231F20"/>
          <w:spacing w:val="-3"/>
        </w:rPr>
        <w:t xml:space="preserve"> </w:t>
      </w:r>
      <w:r>
        <w:rPr>
          <w:color w:val="231F20"/>
        </w:rPr>
        <w:t>therefore</w:t>
      </w:r>
      <w:r>
        <w:rPr>
          <w:color w:val="231F20"/>
          <w:spacing w:val="-3"/>
        </w:rPr>
        <w:t xml:space="preserve"> </w:t>
      </w:r>
      <w:r>
        <w:rPr>
          <w:color w:val="231F20"/>
        </w:rPr>
        <w:t>in</w:t>
      </w:r>
      <w:r>
        <w:rPr>
          <w:color w:val="231F20"/>
          <w:spacing w:val="-3"/>
        </w:rPr>
        <w:t xml:space="preserve"> </w:t>
      </w:r>
      <w:r>
        <w:rPr>
          <w:color w:val="231F20"/>
        </w:rPr>
        <w:t>close</w:t>
      </w:r>
      <w:r>
        <w:rPr>
          <w:color w:val="231F20"/>
          <w:spacing w:val="-3"/>
        </w:rPr>
        <w:t xml:space="preserve"> </w:t>
      </w:r>
      <w:r>
        <w:rPr>
          <w:color w:val="231F20"/>
        </w:rPr>
        <w:t>agreement</w:t>
      </w:r>
      <w:r>
        <w:rPr>
          <w:color w:val="231F20"/>
          <w:spacing w:val="-3"/>
        </w:rPr>
        <w:t xml:space="preserve"> </w:t>
      </w:r>
      <w:r>
        <w:rPr>
          <w:color w:val="231F20"/>
        </w:rPr>
        <w:t xml:space="preserve">with the previously described pattern of </w:t>
      </w:r>
      <w:r>
        <w:rPr>
          <w:i/>
          <w:color w:val="231F20"/>
        </w:rPr>
        <w:t xml:space="preserve">E-cadherin </w:t>
      </w:r>
      <w:r>
        <w:rPr>
          <w:color w:val="231F20"/>
        </w:rPr>
        <w:t xml:space="preserve">expression in this model associated with the acquisition of a metastatic phenotype (38). Lending additional support to the idea of epigenetic plasticity, </w:t>
      </w:r>
      <w:r>
        <w:rPr>
          <w:i/>
          <w:color w:val="231F20"/>
        </w:rPr>
        <w:t xml:space="preserve">E- cadherin </w:t>
      </w:r>
      <w:r>
        <w:rPr>
          <w:color w:val="231F20"/>
        </w:rPr>
        <w:t xml:space="preserve">hypermethylation at the latter stages of tumorigenesis was associated with the demethylation of its transcriptional repressor </w:t>
      </w:r>
      <w:r>
        <w:rPr>
          <w:i/>
          <w:color w:val="231F20"/>
        </w:rPr>
        <w:t>Snail</w:t>
      </w:r>
      <w:r>
        <w:rPr>
          <w:color w:val="231F20"/>
        </w:rPr>
        <w:t>, so that it had methylation-associated silencing at the early stages.</w:t>
      </w:r>
      <w:r>
        <w:rPr>
          <w:color w:val="231F20"/>
          <w:spacing w:val="-1"/>
        </w:rPr>
        <w:t xml:space="preserve"> </w:t>
      </w:r>
      <w:r>
        <w:rPr>
          <w:color w:val="231F20"/>
        </w:rPr>
        <w:t>The</w:t>
      </w:r>
      <w:r>
        <w:rPr>
          <w:color w:val="231F20"/>
          <w:spacing w:val="-1"/>
        </w:rPr>
        <w:t xml:space="preserve"> </w:t>
      </w:r>
      <w:r>
        <w:rPr>
          <w:color w:val="231F20"/>
        </w:rPr>
        <w:t>dynamics</w:t>
      </w:r>
      <w:r>
        <w:rPr>
          <w:color w:val="231F20"/>
          <w:spacing w:val="-1"/>
        </w:rPr>
        <w:t xml:space="preserve"> </w:t>
      </w:r>
      <w:r>
        <w:rPr>
          <w:color w:val="231F20"/>
        </w:rPr>
        <w:t>of</w:t>
      </w:r>
      <w:r>
        <w:rPr>
          <w:color w:val="231F20"/>
          <w:spacing w:val="-1"/>
        </w:rPr>
        <w:t xml:space="preserve"> </w:t>
      </w:r>
      <w:r>
        <w:rPr>
          <w:i/>
          <w:color w:val="231F20"/>
        </w:rPr>
        <w:t>Snail</w:t>
      </w:r>
      <w:r>
        <w:rPr>
          <w:i/>
          <w:color w:val="231F20"/>
          <w:spacing w:val="-1"/>
        </w:rPr>
        <w:t xml:space="preserve"> </w:t>
      </w:r>
      <w:r>
        <w:rPr>
          <w:color w:val="231F20"/>
        </w:rPr>
        <w:t>CpG</w:t>
      </w:r>
      <w:r>
        <w:rPr>
          <w:color w:val="231F20"/>
          <w:spacing w:val="-1"/>
        </w:rPr>
        <w:t xml:space="preserve"> </w:t>
      </w:r>
      <w:r>
        <w:rPr>
          <w:color w:val="231F20"/>
        </w:rPr>
        <w:t>island</w:t>
      </w:r>
      <w:r>
        <w:rPr>
          <w:color w:val="231F20"/>
          <w:spacing w:val="-1"/>
        </w:rPr>
        <w:t xml:space="preserve"> </w:t>
      </w:r>
      <w:r>
        <w:rPr>
          <w:color w:val="231F20"/>
        </w:rPr>
        <w:t>methylation</w:t>
      </w:r>
      <w:r>
        <w:rPr>
          <w:color w:val="231F20"/>
          <w:spacing w:val="-1"/>
        </w:rPr>
        <w:t xml:space="preserve"> </w:t>
      </w:r>
      <w:r>
        <w:rPr>
          <w:color w:val="231F20"/>
        </w:rPr>
        <w:t>is</w:t>
      </w:r>
      <w:r>
        <w:rPr>
          <w:color w:val="231F20"/>
          <w:spacing w:val="-1"/>
        </w:rPr>
        <w:t xml:space="preserve"> </w:t>
      </w:r>
      <w:r>
        <w:rPr>
          <w:color w:val="231F20"/>
        </w:rPr>
        <w:t>also</w:t>
      </w:r>
      <w:r>
        <w:rPr>
          <w:color w:val="231F20"/>
          <w:spacing w:val="-1"/>
        </w:rPr>
        <w:t xml:space="preserve"> </w:t>
      </w:r>
      <w:r>
        <w:rPr>
          <w:color w:val="231F20"/>
        </w:rPr>
        <w:t>in</w:t>
      </w:r>
      <w:r>
        <w:rPr>
          <w:color w:val="231F20"/>
          <w:spacing w:val="-1"/>
        </w:rPr>
        <w:t xml:space="preserve"> </w:t>
      </w:r>
      <w:r>
        <w:rPr>
          <w:color w:val="231F20"/>
        </w:rPr>
        <w:t>strict agreement with its expression pattern during mouse skin tumor pro- gression (24). Furthermore, Snail recruits histone deacetylase activity to</w:t>
      </w:r>
      <w:r>
        <w:rPr>
          <w:color w:val="231F20"/>
          <w:spacing w:val="-1"/>
        </w:rPr>
        <w:t xml:space="preserve"> </w:t>
      </w:r>
      <w:r>
        <w:rPr>
          <w:color w:val="231F20"/>
        </w:rPr>
        <w:t>the</w:t>
      </w:r>
      <w:r>
        <w:rPr>
          <w:color w:val="231F20"/>
          <w:spacing w:val="-2"/>
        </w:rPr>
        <w:t xml:space="preserve"> </w:t>
      </w:r>
      <w:r>
        <w:rPr>
          <w:i/>
          <w:color w:val="231F20"/>
        </w:rPr>
        <w:t>E-cadherin</w:t>
      </w:r>
      <w:r>
        <w:rPr>
          <w:i/>
          <w:color w:val="231F20"/>
          <w:spacing w:val="-1"/>
        </w:rPr>
        <w:t xml:space="preserve"> </w:t>
      </w:r>
      <w:r>
        <w:rPr>
          <w:color w:val="231F20"/>
        </w:rPr>
        <w:t>promoter</w:t>
      </w:r>
      <w:r>
        <w:rPr>
          <w:color w:val="231F20"/>
          <w:spacing w:val="-2"/>
        </w:rPr>
        <w:t xml:space="preserve"> </w:t>
      </w:r>
      <w:r>
        <w:rPr>
          <w:color w:val="231F20"/>
        </w:rPr>
        <w:t>(39),</w:t>
      </w:r>
      <w:r>
        <w:rPr>
          <w:color w:val="231F20"/>
          <w:spacing w:val="-1"/>
        </w:rPr>
        <w:t xml:space="preserve"> </w:t>
      </w:r>
      <w:r>
        <w:rPr>
          <w:color w:val="231F20"/>
        </w:rPr>
        <w:t>which,</w:t>
      </w:r>
      <w:r>
        <w:rPr>
          <w:color w:val="231F20"/>
          <w:spacing w:val="-2"/>
        </w:rPr>
        <w:t xml:space="preserve"> </w:t>
      </w:r>
      <w:r>
        <w:rPr>
          <w:color w:val="231F20"/>
        </w:rPr>
        <w:t>in</w:t>
      </w:r>
      <w:r>
        <w:rPr>
          <w:color w:val="231F20"/>
          <w:spacing w:val="-1"/>
        </w:rPr>
        <w:t xml:space="preserve"> </w:t>
      </w:r>
      <w:r>
        <w:rPr>
          <w:color w:val="231F20"/>
        </w:rPr>
        <w:t>turn,</w:t>
      </w:r>
      <w:r>
        <w:rPr>
          <w:color w:val="231F20"/>
          <w:spacing w:val="-2"/>
        </w:rPr>
        <w:t xml:space="preserve"> </w:t>
      </w:r>
      <w:r>
        <w:rPr>
          <w:color w:val="231F20"/>
        </w:rPr>
        <w:t>associates</w:t>
      </w:r>
      <w:r>
        <w:rPr>
          <w:color w:val="231F20"/>
          <w:spacing w:val="-1"/>
        </w:rPr>
        <w:t xml:space="preserve"> </w:t>
      </w:r>
      <w:r>
        <w:rPr>
          <w:color w:val="231F20"/>
        </w:rPr>
        <w:t>with</w:t>
      </w:r>
      <w:r>
        <w:rPr>
          <w:color w:val="231F20"/>
          <w:spacing w:val="-2"/>
        </w:rPr>
        <w:t xml:space="preserve"> </w:t>
      </w:r>
      <w:r>
        <w:rPr>
          <w:color w:val="231F20"/>
        </w:rPr>
        <w:t>DNA methyltransferases. Therefore, the epigenetic reactivation of Snail in late</w:t>
      </w:r>
      <w:r>
        <w:rPr>
          <w:color w:val="231F20"/>
          <w:spacing w:val="-4"/>
        </w:rPr>
        <w:t xml:space="preserve"> </w:t>
      </w:r>
      <w:r>
        <w:rPr>
          <w:color w:val="231F20"/>
        </w:rPr>
        <w:t>stages</w:t>
      </w:r>
      <w:r>
        <w:rPr>
          <w:color w:val="231F20"/>
          <w:spacing w:val="-4"/>
        </w:rPr>
        <w:t xml:space="preserve"> </w:t>
      </w:r>
      <w:r>
        <w:rPr>
          <w:color w:val="231F20"/>
        </w:rPr>
        <w:t>of</w:t>
      </w:r>
      <w:r>
        <w:rPr>
          <w:color w:val="231F20"/>
          <w:spacing w:val="-4"/>
        </w:rPr>
        <w:t xml:space="preserve"> </w:t>
      </w:r>
      <w:r>
        <w:rPr>
          <w:color w:val="231F20"/>
        </w:rPr>
        <w:t>tumorigenesis</w:t>
      </w:r>
      <w:r>
        <w:rPr>
          <w:color w:val="231F20"/>
          <w:spacing w:val="-4"/>
        </w:rPr>
        <w:t xml:space="preserve"> </w:t>
      </w:r>
      <w:r>
        <w:rPr>
          <w:color w:val="231F20"/>
        </w:rPr>
        <w:t>may</w:t>
      </w:r>
      <w:r>
        <w:rPr>
          <w:color w:val="231F20"/>
          <w:spacing w:val="-4"/>
        </w:rPr>
        <w:t xml:space="preserve"> </w:t>
      </w:r>
      <w:r>
        <w:rPr>
          <w:color w:val="231F20"/>
        </w:rPr>
        <w:t>promote</w:t>
      </w:r>
      <w:r>
        <w:rPr>
          <w:color w:val="231F20"/>
          <w:spacing w:val="-4"/>
        </w:rPr>
        <w:t xml:space="preserve"> </w:t>
      </w:r>
      <w:r>
        <w:rPr>
          <w:color w:val="231F20"/>
        </w:rPr>
        <w:t>the</w:t>
      </w:r>
      <w:r>
        <w:rPr>
          <w:color w:val="231F20"/>
          <w:spacing w:val="-4"/>
        </w:rPr>
        <w:t xml:space="preserve"> </w:t>
      </w:r>
      <w:r>
        <w:rPr>
          <w:color w:val="231F20"/>
        </w:rPr>
        <w:t>hypermethylation</w:t>
      </w:r>
      <w:r>
        <w:rPr>
          <w:color w:val="231F20"/>
          <w:spacing w:val="-4"/>
        </w:rPr>
        <w:t xml:space="preserve"> </w:t>
      </w:r>
      <w:r>
        <w:rPr>
          <w:color w:val="231F20"/>
        </w:rPr>
        <w:t>of</w:t>
      </w:r>
      <w:r>
        <w:rPr>
          <w:color w:val="231F20"/>
          <w:spacing w:val="-4"/>
        </w:rPr>
        <w:t xml:space="preserve"> </w:t>
      </w:r>
      <w:r>
        <w:rPr>
          <w:color w:val="231F20"/>
        </w:rPr>
        <w:t xml:space="preserve">the </w:t>
      </w:r>
      <w:r>
        <w:rPr>
          <w:i/>
          <w:color w:val="231F20"/>
        </w:rPr>
        <w:t xml:space="preserve">E-cadherin </w:t>
      </w:r>
      <w:r>
        <w:rPr>
          <w:color w:val="231F20"/>
        </w:rPr>
        <w:t>CpG island and lead to full silencing in an example of cross-talk between epigenetic events.</w:t>
      </w:r>
    </w:p>
    <w:p w14:paraId="3C6F045E" w14:textId="77777777" w:rsidR="00B322A0" w:rsidRDefault="00000000">
      <w:pPr>
        <w:pStyle w:val="Textoindependiente"/>
        <w:spacing w:before="11" w:line="254" w:lineRule="auto"/>
        <w:ind w:right="113" w:firstLine="180"/>
        <w:jc w:val="both"/>
      </w:pPr>
      <w:r>
        <w:rPr>
          <w:color w:val="231F20"/>
        </w:rPr>
        <w:t>At</w:t>
      </w:r>
      <w:r>
        <w:rPr>
          <w:color w:val="231F20"/>
          <w:spacing w:val="-2"/>
        </w:rPr>
        <w:t xml:space="preserve"> </w:t>
      </w:r>
      <w:r>
        <w:rPr>
          <w:color w:val="231F20"/>
        </w:rPr>
        <w:t>this</w:t>
      </w:r>
      <w:r>
        <w:rPr>
          <w:color w:val="231F20"/>
          <w:spacing w:val="-2"/>
        </w:rPr>
        <w:t xml:space="preserve"> </w:t>
      </w:r>
      <w:r>
        <w:rPr>
          <w:color w:val="231F20"/>
        </w:rPr>
        <w:t>point</w:t>
      </w:r>
      <w:r>
        <w:rPr>
          <w:color w:val="231F20"/>
          <w:spacing w:val="-2"/>
        </w:rPr>
        <w:t xml:space="preserve"> </w:t>
      </w:r>
      <w:r>
        <w:rPr>
          <w:color w:val="231F20"/>
        </w:rPr>
        <w:t>it</w:t>
      </w:r>
      <w:r>
        <w:rPr>
          <w:color w:val="231F20"/>
          <w:spacing w:val="-2"/>
        </w:rPr>
        <w:t xml:space="preserve"> </w:t>
      </w:r>
      <w:r>
        <w:rPr>
          <w:color w:val="231F20"/>
        </w:rPr>
        <w:t>is</w:t>
      </w:r>
      <w:r>
        <w:rPr>
          <w:color w:val="231F20"/>
          <w:spacing w:val="-2"/>
        </w:rPr>
        <w:t xml:space="preserve"> </w:t>
      </w:r>
      <w:r>
        <w:rPr>
          <w:color w:val="231F20"/>
        </w:rPr>
        <w:t>important</w:t>
      </w:r>
      <w:r>
        <w:rPr>
          <w:color w:val="231F20"/>
          <w:spacing w:val="-2"/>
        </w:rPr>
        <w:t xml:space="preserve"> </w:t>
      </w:r>
      <w:r>
        <w:rPr>
          <w:color w:val="231F20"/>
        </w:rPr>
        <w:t>to</w:t>
      </w:r>
      <w:r>
        <w:rPr>
          <w:color w:val="231F20"/>
          <w:spacing w:val="-2"/>
        </w:rPr>
        <w:t xml:space="preserve"> </w:t>
      </w:r>
      <w:r>
        <w:rPr>
          <w:color w:val="231F20"/>
        </w:rPr>
        <w:t>stress</w:t>
      </w:r>
      <w:r>
        <w:rPr>
          <w:color w:val="231F20"/>
          <w:spacing w:val="-2"/>
        </w:rPr>
        <w:t xml:space="preserve"> </w:t>
      </w:r>
      <w:r>
        <w:rPr>
          <w:color w:val="231F20"/>
        </w:rPr>
        <w:t>the</w:t>
      </w:r>
      <w:r>
        <w:rPr>
          <w:color w:val="231F20"/>
          <w:spacing w:val="-2"/>
        </w:rPr>
        <w:t xml:space="preserve"> </w:t>
      </w:r>
      <w:r>
        <w:rPr>
          <w:color w:val="231F20"/>
        </w:rPr>
        <w:t>relevance</w:t>
      </w:r>
      <w:r>
        <w:rPr>
          <w:color w:val="231F20"/>
          <w:spacing w:val="-2"/>
        </w:rPr>
        <w:t xml:space="preserve"> </w:t>
      </w:r>
      <w:r>
        <w:rPr>
          <w:color w:val="231F20"/>
        </w:rPr>
        <w:t>of</w:t>
      </w:r>
      <w:r>
        <w:rPr>
          <w:color w:val="231F20"/>
          <w:spacing w:val="-2"/>
        </w:rPr>
        <w:t xml:space="preserve"> </w:t>
      </w:r>
      <w:r>
        <w:rPr>
          <w:color w:val="231F20"/>
        </w:rPr>
        <w:t>the</w:t>
      </w:r>
      <w:r>
        <w:rPr>
          <w:color w:val="231F20"/>
          <w:spacing w:val="-2"/>
        </w:rPr>
        <w:t xml:space="preserve"> </w:t>
      </w:r>
      <w:r>
        <w:rPr>
          <w:color w:val="231F20"/>
        </w:rPr>
        <w:t>multistage mouse</w:t>
      </w:r>
      <w:r>
        <w:rPr>
          <w:color w:val="231F20"/>
          <w:spacing w:val="-5"/>
        </w:rPr>
        <w:t xml:space="preserve"> </w:t>
      </w:r>
      <w:r>
        <w:rPr>
          <w:color w:val="231F20"/>
        </w:rPr>
        <w:t>skin</w:t>
      </w:r>
      <w:r>
        <w:rPr>
          <w:color w:val="231F20"/>
          <w:spacing w:val="-5"/>
        </w:rPr>
        <w:t xml:space="preserve"> </w:t>
      </w:r>
      <w:r>
        <w:rPr>
          <w:color w:val="231F20"/>
        </w:rPr>
        <w:t>carcinogenesis</w:t>
      </w:r>
      <w:r>
        <w:rPr>
          <w:color w:val="231F20"/>
          <w:spacing w:val="-5"/>
        </w:rPr>
        <w:t xml:space="preserve"> </w:t>
      </w:r>
      <w:r>
        <w:rPr>
          <w:color w:val="231F20"/>
        </w:rPr>
        <w:t>model</w:t>
      </w:r>
      <w:r>
        <w:rPr>
          <w:color w:val="231F20"/>
          <w:spacing w:val="-5"/>
        </w:rPr>
        <w:t xml:space="preserve"> </w:t>
      </w:r>
      <w:r>
        <w:rPr>
          <w:color w:val="231F20"/>
        </w:rPr>
        <w:t>(reviewed</w:t>
      </w:r>
      <w:r>
        <w:rPr>
          <w:color w:val="231F20"/>
          <w:spacing w:val="-5"/>
        </w:rPr>
        <w:t xml:space="preserve"> </w:t>
      </w:r>
      <w:r>
        <w:rPr>
          <w:color w:val="231F20"/>
        </w:rPr>
        <w:t>in</w:t>
      </w:r>
      <w:r>
        <w:rPr>
          <w:color w:val="231F20"/>
          <w:spacing w:val="-5"/>
        </w:rPr>
        <w:t xml:space="preserve"> </w:t>
      </w:r>
      <w:r>
        <w:rPr>
          <w:color w:val="231F20"/>
        </w:rPr>
        <w:t>Refs.</w:t>
      </w:r>
      <w:r>
        <w:rPr>
          <w:color w:val="231F20"/>
          <w:spacing w:val="-5"/>
        </w:rPr>
        <w:t xml:space="preserve"> </w:t>
      </w:r>
      <w:r>
        <w:rPr>
          <w:color w:val="231F20"/>
        </w:rPr>
        <w:t>5,</w:t>
      </w:r>
      <w:r>
        <w:rPr>
          <w:color w:val="231F20"/>
          <w:spacing w:val="-5"/>
        </w:rPr>
        <w:t xml:space="preserve"> </w:t>
      </w:r>
      <w:r>
        <w:rPr>
          <w:color w:val="231F20"/>
        </w:rPr>
        <w:t>6)</w:t>
      </w:r>
      <w:r>
        <w:rPr>
          <w:color w:val="231F20"/>
          <w:spacing w:val="-5"/>
        </w:rPr>
        <w:t xml:space="preserve"> </w:t>
      </w:r>
      <w:r>
        <w:rPr>
          <w:color w:val="231F20"/>
        </w:rPr>
        <w:t>as</w:t>
      </w:r>
      <w:r>
        <w:rPr>
          <w:color w:val="231F20"/>
          <w:spacing w:val="-5"/>
        </w:rPr>
        <w:t xml:space="preserve"> </w:t>
      </w:r>
      <w:r>
        <w:rPr>
          <w:color w:val="231F20"/>
        </w:rPr>
        <w:t>a</w:t>
      </w:r>
      <w:r>
        <w:rPr>
          <w:color w:val="231F20"/>
          <w:spacing w:val="-5"/>
        </w:rPr>
        <w:t xml:space="preserve"> </w:t>
      </w:r>
      <w:r>
        <w:rPr>
          <w:color w:val="231F20"/>
        </w:rPr>
        <w:t>tool</w:t>
      </w:r>
      <w:r>
        <w:rPr>
          <w:color w:val="231F20"/>
          <w:spacing w:val="-5"/>
        </w:rPr>
        <w:t xml:space="preserve"> </w:t>
      </w:r>
      <w:r>
        <w:rPr>
          <w:color w:val="231F20"/>
        </w:rPr>
        <w:t>for a better understanding human cancer epigenetics and assisting the development</w:t>
      </w:r>
      <w:r>
        <w:rPr>
          <w:color w:val="231F20"/>
          <w:spacing w:val="-5"/>
        </w:rPr>
        <w:t xml:space="preserve"> </w:t>
      </w:r>
      <w:r>
        <w:rPr>
          <w:color w:val="231F20"/>
        </w:rPr>
        <w:t>of</w:t>
      </w:r>
      <w:r>
        <w:rPr>
          <w:color w:val="231F20"/>
          <w:spacing w:val="-5"/>
        </w:rPr>
        <w:t xml:space="preserve"> </w:t>
      </w:r>
      <w:r>
        <w:rPr>
          <w:color w:val="231F20"/>
        </w:rPr>
        <w:t>new</w:t>
      </w:r>
      <w:r>
        <w:rPr>
          <w:color w:val="231F20"/>
          <w:spacing w:val="-5"/>
        </w:rPr>
        <w:t xml:space="preserve"> </w:t>
      </w:r>
      <w:r>
        <w:rPr>
          <w:color w:val="231F20"/>
        </w:rPr>
        <w:t>anticancer</w:t>
      </w:r>
      <w:r>
        <w:rPr>
          <w:color w:val="231F20"/>
          <w:spacing w:val="-5"/>
        </w:rPr>
        <w:t xml:space="preserve"> </w:t>
      </w:r>
      <w:r>
        <w:rPr>
          <w:color w:val="231F20"/>
        </w:rPr>
        <w:t>agents.</w:t>
      </w:r>
      <w:r>
        <w:rPr>
          <w:color w:val="231F20"/>
          <w:spacing w:val="-5"/>
        </w:rPr>
        <w:t xml:space="preserve"> </w:t>
      </w:r>
      <w:r>
        <w:rPr>
          <w:color w:val="231F20"/>
        </w:rPr>
        <w:t>First,</w:t>
      </w:r>
      <w:r>
        <w:rPr>
          <w:color w:val="231F20"/>
          <w:spacing w:val="-5"/>
        </w:rPr>
        <w:t xml:space="preserve"> </w:t>
      </w:r>
      <w:r>
        <w:rPr>
          <w:color w:val="231F20"/>
        </w:rPr>
        <w:t>genes</w:t>
      </w:r>
      <w:r>
        <w:rPr>
          <w:color w:val="231F20"/>
          <w:spacing w:val="-5"/>
        </w:rPr>
        <w:t xml:space="preserve"> </w:t>
      </w:r>
      <w:r>
        <w:rPr>
          <w:color w:val="231F20"/>
        </w:rPr>
        <w:t>with</w:t>
      </w:r>
      <w:r>
        <w:rPr>
          <w:color w:val="231F20"/>
          <w:spacing w:val="-5"/>
        </w:rPr>
        <w:t xml:space="preserve"> </w:t>
      </w:r>
      <w:r>
        <w:rPr>
          <w:color w:val="231F20"/>
        </w:rPr>
        <w:t>known</w:t>
      </w:r>
      <w:r>
        <w:rPr>
          <w:color w:val="231F20"/>
          <w:spacing w:val="-5"/>
        </w:rPr>
        <w:t xml:space="preserve"> </w:t>
      </w:r>
      <w:r>
        <w:rPr>
          <w:color w:val="231F20"/>
        </w:rPr>
        <w:t>meth- ylation-associated silencing in human tumors (</w:t>
      </w:r>
      <w:r>
        <w:rPr>
          <w:i/>
          <w:color w:val="231F20"/>
        </w:rPr>
        <w:t>MGMT</w:t>
      </w:r>
      <w:r>
        <w:rPr>
          <w:color w:val="231F20"/>
        </w:rPr>
        <w:t xml:space="preserve">, </w:t>
      </w:r>
      <w:r>
        <w:rPr>
          <w:i/>
          <w:color w:val="231F20"/>
        </w:rPr>
        <w:t xml:space="preserve">E-cadherin, </w:t>
      </w:r>
      <w:r>
        <w:rPr>
          <w:color w:val="231F20"/>
        </w:rPr>
        <w:t>and so forth) were also found epigenetically inactive in the mouse tumors. Secondly, microarray analysis of mouse cancer cells treated with demethylating agents revealed new set of genes with not only methylation-associated silencing in mouse tumors but also in human primary</w:t>
      </w:r>
      <w:r>
        <w:rPr>
          <w:color w:val="231F20"/>
          <w:spacing w:val="-7"/>
        </w:rPr>
        <w:t xml:space="preserve"> </w:t>
      </w:r>
      <w:r>
        <w:rPr>
          <w:color w:val="231F20"/>
        </w:rPr>
        <w:t>cancer.</w:t>
      </w:r>
      <w:r>
        <w:rPr>
          <w:color w:val="231F20"/>
          <w:spacing w:val="-7"/>
        </w:rPr>
        <w:t xml:space="preserve"> </w:t>
      </w:r>
      <w:r>
        <w:rPr>
          <w:color w:val="231F20"/>
        </w:rPr>
        <w:t>These</w:t>
      </w:r>
      <w:r>
        <w:rPr>
          <w:color w:val="231F20"/>
          <w:spacing w:val="-7"/>
        </w:rPr>
        <w:t xml:space="preserve"> </w:t>
      </w:r>
      <w:r>
        <w:rPr>
          <w:color w:val="231F20"/>
        </w:rPr>
        <w:t>target</w:t>
      </w:r>
      <w:r>
        <w:rPr>
          <w:color w:val="231F20"/>
          <w:spacing w:val="-7"/>
        </w:rPr>
        <w:t xml:space="preserve"> </w:t>
      </w:r>
      <w:r>
        <w:rPr>
          <w:color w:val="231F20"/>
        </w:rPr>
        <w:t>genes</w:t>
      </w:r>
      <w:r>
        <w:rPr>
          <w:color w:val="231F20"/>
          <w:spacing w:val="-7"/>
        </w:rPr>
        <w:t xml:space="preserve"> </w:t>
      </w:r>
      <w:r>
        <w:rPr>
          <w:color w:val="231F20"/>
        </w:rPr>
        <w:t>include,</w:t>
      </w:r>
      <w:r>
        <w:rPr>
          <w:color w:val="231F20"/>
          <w:spacing w:val="-7"/>
        </w:rPr>
        <w:t xml:space="preserve"> </w:t>
      </w:r>
      <w:r>
        <w:rPr>
          <w:color w:val="231F20"/>
        </w:rPr>
        <w:t>among</w:t>
      </w:r>
      <w:r>
        <w:rPr>
          <w:color w:val="231F20"/>
          <w:spacing w:val="-7"/>
        </w:rPr>
        <w:t xml:space="preserve"> </w:t>
      </w:r>
      <w:r>
        <w:rPr>
          <w:color w:val="231F20"/>
        </w:rPr>
        <w:t>others,</w:t>
      </w:r>
      <w:r>
        <w:rPr>
          <w:color w:val="231F20"/>
          <w:spacing w:val="-7"/>
        </w:rPr>
        <w:t xml:space="preserve"> </w:t>
      </w:r>
      <w:r>
        <w:rPr>
          <w:color w:val="231F20"/>
        </w:rPr>
        <w:t>the</w:t>
      </w:r>
      <w:r>
        <w:rPr>
          <w:color w:val="231F20"/>
          <w:spacing w:val="-7"/>
        </w:rPr>
        <w:t xml:space="preserve"> </w:t>
      </w:r>
      <w:r>
        <w:rPr>
          <w:color w:val="231F20"/>
        </w:rPr>
        <w:t>insulin- like growth factor binding protein 3 (</w:t>
      </w:r>
      <w:r>
        <w:rPr>
          <w:i/>
          <w:color w:val="231F20"/>
        </w:rPr>
        <w:t>IGFBP3</w:t>
      </w:r>
      <w:r>
        <w:rPr>
          <w:color w:val="231F20"/>
        </w:rPr>
        <w:t>), a mediator of apopto- sis</w:t>
      </w:r>
      <w:r>
        <w:rPr>
          <w:color w:val="231F20"/>
          <w:spacing w:val="-6"/>
        </w:rPr>
        <w:t xml:space="preserve"> </w:t>
      </w:r>
      <w:r>
        <w:rPr>
          <w:color w:val="231F20"/>
        </w:rPr>
        <w:t>with</w:t>
      </w:r>
      <w:r>
        <w:rPr>
          <w:color w:val="231F20"/>
          <w:spacing w:val="-6"/>
        </w:rPr>
        <w:t xml:space="preserve"> </w:t>
      </w:r>
      <w:r>
        <w:rPr>
          <w:color w:val="231F20"/>
        </w:rPr>
        <w:t>antiproliferative</w:t>
      </w:r>
      <w:r>
        <w:rPr>
          <w:color w:val="231F20"/>
          <w:spacing w:val="-6"/>
        </w:rPr>
        <w:t xml:space="preserve"> </w:t>
      </w:r>
      <w:r>
        <w:rPr>
          <w:color w:val="231F20"/>
        </w:rPr>
        <w:t>signaling</w:t>
      </w:r>
      <w:r>
        <w:rPr>
          <w:color w:val="231F20"/>
          <w:spacing w:val="-6"/>
        </w:rPr>
        <w:t xml:space="preserve"> </w:t>
      </w:r>
      <w:r>
        <w:rPr>
          <w:color w:val="231F20"/>
        </w:rPr>
        <w:t>effect</w:t>
      </w:r>
      <w:r>
        <w:rPr>
          <w:color w:val="231F20"/>
          <w:spacing w:val="-6"/>
        </w:rPr>
        <w:t xml:space="preserve"> </w:t>
      </w:r>
      <w:r>
        <w:rPr>
          <w:color w:val="231F20"/>
        </w:rPr>
        <w:t>(27);</w:t>
      </w:r>
      <w:r>
        <w:rPr>
          <w:color w:val="231F20"/>
          <w:spacing w:val="-6"/>
        </w:rPr>
        <w:t xml:space="preserve"> </w:t>
      </w:r>
      <w:r>
        <w:rPr>
          <w:color w:val="231F20"/>
        </w:rPr>
        <w:t>the</w:t>
      </w:r>
      <w:r>
        <w:rPr>
          <w:color w:val="231F20"/>
          <w:spacing w:val="-6"/>
        </w:rPr>
        <w:t xml:space="preserve"> </w:t>
      </w:r>
      <w:r>
        <w:rPr>
          <w:color w:val="231F20"/>
        </w:rPr>
        <w:t>chemokine</w:t>
      </w:r>
      <w:r>
        <w:rPr>
          <w:color w:val="231F20"/>
          <w:spacing w:val="-6"/>
        </w:rPr>
        <w:t xml:space="preserve"> </w:t>
      </w:r>
      <w:r>
        <w:rPr>
          <w:color w:val="231F20"/>
        </w:rPr>
        <w:t xml:space="preserve">receptor </w:t>
      </w:r>
      <w:r>
        <w:rPr>
          <w:i/>
          <w:color w:val="231F20"/>
        </w:rPr>
        <w:t>CMKAR4</w:t>
      </w:r>
      <w:r>
        <w:rPr>
          <w:color w:val="231F20"/>
        </w:rPr>
        <w:t>, implicated in tumor adhesion to microvascular endothelial cells (28); the 1-Cys peroxiredoxin (</w:t>
      </w:r>
      <w:r>
        <w:rPr>
          <w:i/>
          <w:color w:val="231F20"/>
        </w:rPr>
        <w:t>PRDX1</w:t>
      </w:r>
      <w:r>
        <w:rPr>
          <w:color w:val="231F20"/>
        </w:rPr>
        <w:t>), involved in the defense against oxidant stress (29); or the cell differentiating factor cysteine- rich protein 2 (</w:t>
      </w:r>
      <w:r>
        <w:rPr>
          <w:i/>
          <w:color w:val="231F20"/>
        </w:rPr>
        <w:t>CSRP2</w:t>
      </w:r>
      <w:r>
        <w:rPr>
          <w:color w:val="231F20"/>
        </w:rPr>
        <w:t>; Ref. 26). An evaluation of the tumor suppres- sor-like activities of these genes has just begun, and mutation screen- ing</w:t>
      </w:r>
      <w:r>
        <w:rPr>
          <w:color w:val="231F20"/>
          <w:spacing w:val="-2"/>
        </w:rPr>
        <w:t xml:space="preserve"> </w:t>
      </w:r>
      <w:r>
        <w:rPr>
          <w:color w:val="231F20"/>
        </w:rPr>
        <w:t>of</w:t>
      </w:r>
      <w:r>
        <w:rPr>
          <w:color w:val="231F20"/>
          <w:spacing w:val="-2"/>
        </w:rPr>
        <w:t xml:space="preserve"> </w:t>
      </w:r>
      <w:r>
        <w:rPr>
          <w:color w:val="231F20"/>
        </w:rPr>
        <w:t>these</w:t>
      </w:r>
      <w:r>
        <w:rPr>
          <w:color w:val="231F20"/>
          <w:spacing w:val="-2"/>
        </w:rPr>
        <w:t xml:space="preserve"> </w:t>
      </w:r>
      <w:r>
        <w:rPr>
          <w:color w:val="231F20"/>
        </w:rPr>
        <w:t>genes</w:t>
      </w:r>
      <w:r>
        <w:rPr>
          <w:color w:val="231F20"/>
          <w:spacing w:val="-2"/>
        </w:rPr>
        <w:t xml:space="preserve"> </w:t>
      </w:r>
      <w:r>
        <w:rPr>
          <w:color w:val="231F20"/>
        </w:rPr>
        <w:t>in</w:t>
      </w:r>
      <w:r>
        <w:rPr>
          <w:color w:val="231F20"/>
          <w:spacing w:val="-2"/>
        </w:rPr>
        <w:t xml:space="preserve"> </w:t>
      </w:r>
      <w:r>
        <w:rPr>
          <w:color w:val="231F20"/>
        </w:rPr>
        <w:t>cancer</w:t>
      </w:r>
      <w:r>
        <w:rPr>
          <w:color w:val="231F20"/>
          <w:spacing w:val="-2"/>
        </w:rPr>
        <w:t xml:space="preserve"> </w:t>
      </w:r>
      <w:r>
        <w:rPr>
          <w:color w:val="231F20"/>
        </w:rPr>
        <w:t>cells</w:t>
      </w:r>
      <w:r>
        <w:rPr>
          <w:color w:val="231F20"/>
          <w:spacing w:val="-2"/>
        </w:rPr>
        <w:t xml:space="preserve"> </w:t>
      </w:r>
      <w:r>
        <w:rPr>
          <w:color w:val="231F20"/>
        </w:rPr>
        <w:t>is</w:t>
      </w:r>
      <w:r>
        <w:rPr>
          <w:color w:val="231F20"/>
          <w:spacing w:val="-2"/>
        </w:rPr>
        <w:t xml:space="preserve"> </w:t>
      </w:r>
      <w:r>
        <w:rPr>
          <w:color w:val="231F20"/>
        </w:rPr>
        <w:t>reported</w:t>
      </w:r>
      <w:r>
        <w:rPr>
          <w:color w:val="231F20"/>
          <w:spacing w:val="-2"/>
        </w:rPr>
        <w:t xml:space="preserve"> </w:t>
      </w:r>
      <w:r>
        <w:rPr>
          <w:color w:val="231F20"/>
        </w:rPr>
        <w:t>in</w:t>
      </w:r>
      <w:r>
        <w:rPr>
          <w:color w:val="231F20"/>
          <w:spacing w:val="-2"/>
        </w:rPr>
        <w:t xml:space="preserve"> </w:t>
      </w:r>
      <w:r>
        <w:rPr>
          <w:color w:val="231F20"/>
        </w:rPr>
        <w:t>the</w:t>
      </w:r>
      <w:r>
        <w:rPr>
          <w:color w:val="231F20"/>
          <w:spacing w:val="-2"/>
        </w:rPr>
        <w:t xml:space="preserve"> </w:t>
      </w:r>
      <w:r>
        <w:rPr>
          <w:color w:val="231F20"/>
        </w:rPr>
        <w:t>literature,</w:t>
      </w:r>
      <w:r>
        <w:rPr>
          <w:color w:val="231F20"/>
          <w:spacing w:val="-2"/>
        </w:rPr>
        <w:t xml:space="preserve"> </w:t>
      </w:r>
      <w:r>
        <w:rPr>
          <w:color w:val="231F20"/>
        </w:rPr>
        <w:t>but</w:t>
      </w:r>
      <w:r>
        <w:rPr>
          <w:color w:val="231F20"/>
          <w:spacing w:val="-2"/>
        </w:rPr>
        <w:t xml:space="preserve"> </w:t>
      </w:r>
      <w:r>
        <w:rPr>
          <w:color w:val="231F20"/>
        </w:rPr>
        <w:t>each one</w:t>
      </w:r>
      <w:r>
        <w:rPr>
          <w:color w:val="231F20"/>
          <w:spacing w:val="-3"/>
        </w:rPr>
        <w:t xml:space="preserve"> </w:t>
      </w:r>
      <w:r>
        <w:rPr>
          <w:color w:val="231F20"/>
        </w:rPr>
        <w:t>will</w:t>
      </w:r>
      <w:r>
        <w:rPr>
          <w:color w:val="231F20"/>
          <w:spacing w:val="-3"/>
        </w:rPr>
        <w:t xml:space="preserve"> </w:t>
      </w:r>
      <w:r>
        <w:rPr>
          <w:color w:val="231F20"/>
        </w:rPr>
        <w:t>merit</w:t>
      </w:r>
      <w:r>
        <w:rPr>
          <w:color w:val="231F20"/>
          <w:spacing w:val="-3"/>
        </w:rPr>
        <w:t xml:space="preserve"> </w:t>
      </w:r>
      <w:r>
        <w:rPr>
          <w:color w:val="231F20"/>
        </w:rPr>
        <w:t>a</w:t>
      </w:r>
      <w:r>
        <w:rPr>
          <w:color w:val="231F20"/>
          <w:spacing w:val="-3"/>
        </w:rPr>
        <w:t xml:space="preserve"> </w:t>
      </w:r>
      <w:r>
        <w:rPr>
          <w:color w:val="231F20"/>
        </w:rPr>
        <w:t>more</w:t>
      </w:r>
      <w:r>
        <w:rPr>
          <w:color w:val="231F20"/>
          <w:spacing w:val="-3"/>
        </w:rPr>
        <w:t xml:space="preserve"> </w:t>
      </w:r>
      <w:r>
        <w:rPr>
          <w:color w:val="231F20"/>
        </w:rPr>
        <w:t>profound</w:t>
      </w:r>
      <w:r>
        <w:rPr>
          <w:color w:val="231F20"/>
          <w:spacing w:val="-3"/>
        </w:rPr>
        <w:t xml:space="preserve"> </w:t>
      </w:r>
      <w:r>
        <w:rPr>
          <w:color w:val="231F20"/>
        </w:rPr>
        <w:t>study</w:t>
      </w:r>
      <w:r>
        <w:rPr>
          <w:color w:val="231F20"/>
          <w:spacing w:val="-3"/>
        </w:rPr>
        <w:t xml:space="preserve"> </w:t>
      </w:r>
      <w:r>
        <w:rPr>
          <w:color w:val="231F20"/>
        </w:rPr>
        <w:t>to</w:t>
      </w:r>
      <w:r>
        <w:rPr>
          <w:color w:val="231F20"/>
          <w:spacing w:val="-3"/>
        </w:rPr>
        <w:t xml:space="preserve"> </w:t>
      </w:r>
      <w:r>
        <w:rPr>
          <w:color w:val="231F20"/>
        </w:rPr>
        <w:t>establish</w:t>
      </w:r>
      <w:r>
        <w:rPr>
          <w:color w:val="231F20"/>
          <w:spacing w:val="-3"/>
        </w:rPr>
        <w:t xml:space="preserve"> </w:t>
      </w:r>
      <w:r>
        <w:rPr>
          <w:color w:val="231F20"/>
        </w:rPr>
        <w:t>their</w:t>
      </w:r>
      <w:r>
        <w:rPr>
          <w:color w:val="231F20"/>
          <w:spacing w:val="-3"/>
        </w:rPr>
        <w:t xml:space="preserve"> </w:t>
      </w:r>
      <w:r>
        <w:rPr>
          <w:color w:val="231F20"/>
        </w:rPr>
        <w:t>contribution</w:t>
      </w:r>
      <w:r>
        <w:rPr>
          <w:color w:val="231F20"/>
          <w:spacing w:val="-3"/>
        </w:rPr>
        <w:t xml:space="preserve"> </w:t>
      </w:r>
      <w:r>
        <w:rPr>
          <w:color w:val="231F20"/>
        </w:rPr>
        <w:t>to tumorigenesis and their potential as biomarkers of the disease.</w:t>
      </w:r>
    </w:p>
    <w:p w14:paraId="0A075082" w14:textId="77777777" w:rsidR="00B322A0" w:rsidRDefault="00000000">
      <w:pPr>
        <w:pStyle w:val="Textoindependiente"/>
        <w:spacing w:before="12" w:line="254" w:lineRule="auto"/>
        <w:ind w:right="114" w:firstLine="180"/>
        <w:jc w:val="both"/>
      </w:pPr>
      <w:r>
        <w:rPr>
          <w:color w:val="231F20"/>
        </w:rPr>
        <w:t>Finally, similar epigenetic behavior observed in multistage skin tumor progression compared with human cancer cell lines and both mouse</w:t>
      </w:r>
      <w:r>
        <w:rPr>
          <w:color w:val="231F20"/>
          <w:spacing w:val="-1"/>
        </w:rPr>
        <w:t xml:space="preserve"> </w:t>
      </w:r>
      <w:r>
        <w:rPr>
          <w:color w:val="231F20"/>
        </w:rPr>
        <w:t>and</w:t>
      </w:r>
      <w:r>
        <w:rPr>
          <w:color w:val="231F20"/>
          <w:spacing w:val="-1"/>
        </w:rPr>
        <w:t xml:space="preserve"> </w:t>
      </w:r>
      <w:r>
        <w:rPr>
          <w:color w:val="231F20"/>
        </w:rPr>
        <w:t>human</w:t>
      </w:r>
      <w:r>
        <w:rPr>
          <w:color w:val="231F20"/>
          <w:spacing w:val="-1"/>
        </w:rPr>
        <w:t xml:space="preserve"> </w:t>
      </w:r>
      <w:r>
        <w:rPr>
          <w:color w:val="231F20"/>
        </w:rPr>
        <w:t>primary</w:t>
      </w:r>
      <w:r>
        <w:rPr>
          <w:color w:val="231F20"/>
          <w:spacing w:val="-1"/>
        </w:rPr>
        <w:t xml:space="preserve"> </w:t>
      </w:r>
      <w:r>
        <w:rPr>
          <w:color w:val="231F20"/>
        </w:rPr>
        <w:t>tumors</w:t>
      </w:r>
      <w:r>
        <w:rPr>
          <w:color w:val="231F20"/>
          <w:spacing w:val="-1"/>
        </w:rPr>
        <w:t xml:space="preserve"> </w:t>
      </w:r>
      <w:r>
        <w:rPr>
          <w:color w:val="231F20"/>
        </w:rPr>
        <w:t>may</w:t>
      </w:r>
      <w:r>
        <w:rPr>
          <w:color w:val="231F20"/>
          <w:spacing w:val="-1"/>
        </w:rPr>
        <w:t xml:space="preserve"> </w:t>
      </w:r>
      <w:r>
        <w:rPr>
          <w:color w:val="231F20"/>
        </w:rPr>
        <w:t>herald</w:t>
      </w:r>
      <w:r>
        <w:rPr>
          <w:color w:val="231F20"/>
          <w:spacing w:val="-1"/>
        </w:rPr>
        <w:t xml:space="preserve"> </w:t>
      </w:r>
      <w:r>
        <w:rPr>
          <w:color w:val="231F20"/>
        </w:rPr>
        <w:t>the</w:t>
      </w:r>
      <w:r>
        <w:rPr>
          <w:color w:val="231F20"/>
          <w:spacing w:val="-1"/>
        </w:rPr>
        <w:t xml:space="preserve"> </w:t>
      </w:r>
      <w:r>
        <w:rPr>
          <w:color w:val="231F20"/>
        </w:rPr>
        <w:t>mouse</w:t>
      </w:r>
      <w:r>
        <w:rPr>
          <w:color w:val="231F20"/>
          <w:spacing w:val="-1"/>
        </w:rPr>
        <w:t xml:space="preserve"> </w:t>
      </w:r>
      <w:r>
        <w:rPr>
          <w:color w:val="231F20"/>
        </w:rPr>
        <w:t>model</w:t>
      </w:r>
      <w:r>
        <w:rPr>
          <w:color w:val="231F20"/>
          <w:spacing w:val="-1"/>
        </w:rPr>
        <w:t xml:space="preserve"> </w:t>
      </w:r>
      <w:r>
        <w:rPr>
          <w:color w:val="231F20"/>
        </w:rPr>
        <w:t>as</w:t>
      </w:r>
      <w:r>
        <w:rPr>
          <w:color w:val="231F20"/>
          <w:spacing w:val="-1"/>
        </w:rPr>
        <w:t xml:space="preserve"> </w:t>
      </w:r>
      <w:r>
        <w:rPr>
          <w:color w:val="231F20"/>
        </w:rPr>
        <w:t>an excellent system to test all current and newly produced anticancer drugs targeting epigenetics (reviewed in Ref. 3). We are in the early stages</w:t>
      </w:r>
      <w:r>
        <w:rPr>
          <w:color w:val="231F20"/>
          <w:spacing w:val="-7"/>
        </w:rPr>
        <w:t xml:space="preserve"> </w:t>
      </w:r>
      <w:r>
        <w:rPr>
          <w:color w:val="231F20"/>
        </w:rPr>
        <w:t>of</w:t>
      </w:r>
      <w:r>
        <w:rPr>
          <w:color w:val="231F20"/>
          <w:spacing w:val="-7"/>
        </w:rPr>
        <w:t xml:space="preserve"> </w:t>
      </w:r>
      <w:r>
        <w:rPr>
          <w:color w:val="231F20"/>
        </w:rPr>
        <w:t>the</w:t>
      </w:r>
      <w:r>
        <w:rPr>
          <w:color w:val="231F20"/>
          <w:spacing w:val="-7"/>
        </w:rPr>
        <w:t xml:space="preserve"> </w:t>
      </w:r>
      <w:r>
        <w:rPr>
          <w:color w:val="231F20"/>
        </w:rPr>
        <w:t>development</w:t>
      </w:r>
      <w:r>
        <w:rPr>
          <w:color w:val="231F20"/>
          <w:spacing w:val="-7"/>
        </w:rPr>
        <w:t xml:space="preserve"> </w:t>
      </w:r>
      <w:r>
        <w:rPr>
          <w:color w:val="231F20"/>
        </w:rPr>
        <w:t>of</w:t>
      </w:r>
      <w:r>
        <w:rPr>
          <w:color w:val="231F20"/>
          <w:spacing w:val="-7"/>
        </w:rPr>
        <w:t xml:space="preserve"> </w:t>
      </w:r>
      <w:r>
        <w:rPr>
          <w:color w:val="231F20"/>
        </w:rPr>
        <w:t>DNA</w:t>
      </w:r>
      <w:r>
        <w:rPr>
          <w:color w:val="231F20"/>
          <w:spacing w:val="-7"/>
        </w:rPr>
        <w:t xml:space="preserve"> </w:t>
      </w:r>
      <w:r>
        <w:rPr>
          <w:color w:val="231F20"/>
        </w:rPr>
        <w:t>demethylating</w:t>
      </w:r>
      <w:r>
        <w:rPr>
          <w:color w:val="231F20"/>
          <w:spacing w:val="-7"/>
        </w:rPr>
        <w:t xml:space="preserve"> </w:t>
      </w:r>
      <w:r>
        <w:rPr>
          <w:color w:val="231F20"/>
        </w:rPr>
        <w:t>drugs</w:t>
      </w:r>
      <w:r>
        <w:rPr>
          <w:color w:val="231F20"/>
          <w:spacing w:val="-7"/>
        </w:rPr>
        <w:t xml:space="preserve"> </w:t>
      </w:r>
      <w:r>
        <w:rPr>
          <w:color w:val="231F20"/>
        </w:rPr>
        <w:t>and</w:t>
      </w:r>
      <w:r>
        <w:rPr>
          <w:color w:val="231F20"/>
          <w:spacing w:val="-7"/>
        </w:rPr>
        <w:t xml:space="preserve"> </w:t>
      </w:r>
      <w:r>
        <w:rPr>
          <w:color w:val="231F20"/>
        </w:rPr>
        <w:t>inhibitors of histone deacetylases for the treatment of cancer, although clinical studies using these agents have been initiated worldwide. The versa- tility of the mouse carcinogenesis model now offers a safe and convenient environment to test these compounds for clinical efficacy and toxic side effects.</w:t>
      </w:r>
    </w:p>
    <w:p w14:paraId="55A85435" w14:textId="77777777" w:rsidR="00B322A0" w:rsidRDefault="00B322A0">
      <w:pPr>
        <w:pStyle w:val="Textoindependiente"/>
        <w:spacing w:before="79"/>
        <w:ind w:left="0"/>
      </w:pPr>
    </w:p>
    <w:p w14:paraId="35B34BF2" w14:textId="77777777" w:rsidR="00B322A0" w:rsidRDefault="00000000">
      <w:pPr>
        <w:pStyle w:val="Ttulo1"/>
        <w:spacing w:before="1"/>
      </w:pPr>
      <w:r>
        <w:rPr>
          <w:color w:val="231F20"/>
          <w:spacing w:val="-2"/>
        </w:rPr>
        <w:t>References</w:t>
      </w:r>
    </w:p>
    <w:p w14:paraId="3A7562D3" w14:textId="77777777" w:rsidR="00B322A0" w:rsidRDefault="00000000">
      <w:pPr>
        <w:pStyle w:val="Prrafodelista"/>
        <w:numPr>
          <w:ilvl w:val="0"/>
          <w:numId w:val="1"/>
        </w:numPr>
        <w:tabs>
          <w:tab w:val="left" w:pos="348"/>
        </w:tabs>
        <w:spacing w:before="110" w:line="160" w:lineRule="exact"/>
        <w:ind w:right="0"/>
        <w:jc w:val="both"/>
        <w:rPr>
          <w:sz w:val="14"/>
        </w:rPr>
      </w:pPr>
      <w:r>
        <w:rPr>
          <w:color w:val="231F20"/>
          <w:sz w:val="14"/>
        </w:rPr>
        <w:t>Jones</w:t>
      </w:r>
      <w:r>
        <w:rPr>
          <w:color w:val="231F20"/>
          <w:spacing w:val="11"/>
          <w:sz w:val="14"/>
        </w:rPr>
        <w:t xml:space="preserve"> </w:t>
      </w:r>
      <w:r>
        <w:rPr>
          <w:color w:val="231F20"/>
          <w:sz w:val="14"/>
        </w:rPr>
        <w:t>PA,</w:t>
      </w:r>
      <w:r>
        <w:rPr>
          <w:color w:val="231F20"/>
          <w:spacing w:val="11"/>
          <w:sz w:val="14"/>
        </w:rPr>
        <w:t xml:space="preserve"> </w:t>
      </w:r>
      <w:r>
        <w:rPr>
          <w:color w:val="231F20"/>
          <w:sz w:val="14"/>
        </w:rPr>
        <w:t>Laird</w:t>
      </w:r>
      <w:r>
        <w:rPr>
          <w:color w:val="231F20"/>
          <w:spacing w:val="11"/>
          <w:sz w:val="14"/>
        </w:rPr>
        <w:t xml:space="preserve"> </w:t>
      </w:r>
      <w:r>
        <w:rPr>
          <w:color w:val="231F20"/>
          <w:sz w:val="14"/>
        </w:rPr>
        <w:t>PW.</w:t>
      </w:r>
      <w:r>
        <w:rPr>
          <w:color w:val="231F20"/>
          <w:spacing w:val="11"/>
          <w:sz w:val="14"/>
        </w:rPr>
        <w:t xml:space="preserve"> </w:t>
      </w:r>
      <w:r>
        <w:rPr>
          <w:color w:val="231F20"/>
          <w:sz w:val="14"/>
        </w:rPr>
        <w:t>Cancer</w:t>
      </w:r>
      <w:r>
        <w:rPr>
          <w:color w:val="231F20"/>
          <w:spacing w:val="11"/>
          <w:sz w:val="14"/>
        </w:rPr>
        <w:t xml:space="preserve"> </w:t>
      </w:r>
      <w:r>
        <w:rPr>
          <w:color w:val="231F20"/>
          <w:sz w:val="14"/>
        </w:rPr>
        <w:t>epigenetics</w:t>
      </w:r>
      <w:r>
        <w:rPr>
          <w:color w:val="231F20"/>
          <w:spacing w:val="11"/>
          <w:sz w:val="14"/>
        </w:rPr>
        <w:t xml:space="preserve"> </w:t>
      </w:r>
      <w:r>
        <w:rPr>
          <w:color w:val="231F20"/>
          <w:sz w:val="14"/>
        </w:rPr>
        <w:t>comes</w:t>
      </w:r>
      <w:r>
        <w:rPr>
          <w:color w:val="231F20"/>
          <w:spacing w:val="11"/>
          <w:sz w:val="14"/>
        </w:rPr>
        <w:t xml:space="preserve"> </w:t>
      </w:r>
      <w:r>
        <w:rPr>
          <w:color w:val="231F20"/>
          <w:sz w:val="14"/>
        </w:rPr>
        <w:t>of</w:t>
      </w:r>
      <w:r>
        <w:rPr>
          <w:color w:val="231F20"/>
          <w:spacing w:val="11"/>
          <w:sz w:val="14"/>
        </w:rPr>
        <w:t xml:space="preserve"> </w:t>
      </w:r>
      <w:r>
        <w:rPr>
          <w:color w:val="231F20"/>
          <w:sz w:val="14"/>
        </w:rPr>
        <w:t>age.</w:t>
      </w:r>
      <w:r>
        <w:rPr>
          <w:color w:val="231F20"/>
          <w:spacing w:val="11"/>
          <w:sz w:val="14"/>
        </w:rPr>
        <w:t xml:space="preserve"> </w:t>
      </w:r>
      <w:r>
        <w:rPr>
          <w:color w:val="231F20"/>
          <w:sz w:val="14"/>
        </w:rPr>
        <w:t>Nat</w:t>
      </w:r>
      <w:r>
        <w:rPr>
          <w:color w:val="231F20"/>
          <w:spacing w:val="11"/>
          <w:sz w:val="14"/>
        </w:rPr>
        <w:t xml:space="preserve"> </w:t>
      </w:r>
      <w:r>
        <w:rPr>
          <w:color w:val="231F20"/>
          <w:sz w:val="14"/>
        </w:rPr>
        <w:t>Genet</w:t>
      </w:r>
      <w:r>
        <w:rPr>
          <w:color w:val="231F20"/>
          <w:spacing w:val="11"/>
          <w:sz w:val="14"/>
        </w:rPr>
        <w:t xml:space="preserve"> </w:t>
      </w:r>
      <w:r>
        <w:rPr>
          <w:color w:val="231F20"/>
          <w:spacing w:val="-2"/>
          <w:sz w:val="14"/>
        </w:rPr>
        <w:t>1999;21:163–7.</w:t>
      </w:r>
    </w:p>
    <w:p w14:paraId="445CFF4F" w14:textId="77777777" w:rsidR="00B322A0" w:rsidRDefault="00000000">
      <w:pPr>
        <w:pStyle w:val="Prrafodelista"/>
        <w:numPr>
          <w:ilvl w:val="0"/>
          <w:numId w:val="1"/>
        </w:numPr>
        <w:tabs>
          <w:tab w:val="left" w:pos="348"/>
        </w:tabs>
        <w:ind w:right="115"/>
        <w:jc w:val="both"/>
        <w:rPr>
          <w:sz w:val="14"/>
        </w:rPr>
      </w:pPr>
      <w:r>
        <w:rPr>
          <w:color w:val="231F20"/>
          <w:sz w:val="14"/>
        </w:rPr>
        <w:t>Esteller M. CpG island hypermethylation and tumor suppressor genes: a booming</w:t>
      </w:r>
      <w:r>
        <w:rPr>
          <w:color w:val="231F20"/>
          <w:spacing w:val="40"/>
          <w:sz w:val="14"/>
        </w:rPr>
        <w:t xml:space="preserve"> </w:t>
      </w:r>
      <w:r>
        <w:rPr>
          <w:color w:val="231F20"/>
          <w:sz w:val="14"/>
        </w:rPr>
        <w:t>present, a brighter future. Oncogene 2002;21:5427–</w:t>
      </w:r>
      <w:r>
        <w:rPr>
          <w:color w:val="231F20"/>
          <w:spacing w:val="-12"/>
          <w:sz w:val="14"/>
        </w:rPr>
        <w:t xml:space="preserve"> </w:t>
      </w:r>
      <w:r>
        <w:rPr>
          <w:color w:val="231F20"/>
          <w:sz w:val="14"/>
        </w:rPr>
        <w:t>40.</w:t>
      </w:r>
    </w:p>
    <w:p w14:paraId="3EBB5E8E" w14:textId="77777777" w:rsidR="00B322A0" w:rsidRDefault="00000000">
      <w:pPr>
        <w:pStyle w:val="Prrafodelista"/>
        <w:numPr>
          <w:ilvl w:val="0"/>
          <w:numId w:val="1"/>
        </w:numPr>
        <w:tabs>
          <w:tab w:val="left" w:pos="348"/>
        </w:tabs>
        <w:ind w:right="115"/>
        <w:jc w:val="both"/>
        <w:rPr>
          <w:sz w:val="14"/>
        </w:rPr>
      </w:pPr>
      <w:r>
        <w:rPr>
          <w:color w:val="231F20"/>
          <w:sz w:val="14"/>
        </w:rPr>
        <w:t>Herman JG, Baylin SB. Gene silencing in cancer in association with promoter</w:t>
      </w:r>
      <w:r>
        <w:rPr>
          <w:color w:val="231F20"/>
          <w:spacing w:val="40"/>
          <w:sz w:val="14"/>
        </w:rPr>
        <w:t xml:space="preserve"> </w:t>
      </w:r>
      <w:r>
        <w:rPr>
          <w:color w:val="231F20"/>
          <w:sz w:val="14"/>
        </w:rPr>
        <w:t>hypermethylation. N Engl J Med 2003;349:2042–54.</w:t>
      </w:r>
    </w:p>
    <w:p w14:paraId="352733CB" w14:textId="77777777" w:rsidR="00B322A0" w:rsidRDefault="00000000">
      <w:pPr>
        <w:pStyle w:val="Prrafodelista"/>
        <w:numPr>
          <w:ilvl w:val="0"/>
          <w:numId w:val="1"/>
        </w:numPr>
        <w:tabs>
          <w:tab w:val="left" w:pos="348"/>
        </w:tabs>
        <w:ind w:right="115"/>
        <w:jc w:val="both"/>
        <w:rPr>
          <w:sz w:val="14"/>
        </w:rPr>
      </w:pPr>
      <w:r>
        <w:rPr>
          <w:color w:val="231F20"/>
          <w:sz w:val="14"/>
        </w:rPr>
        <w:t>Fearon ER, Vogelstein B. A genetic model for colorectal tumorigenesis. Cell 1990;</w:t>
      </w:r>
      <w:r>
        <w:rPr>
          <w:color w:val="231F20"/>
          <w:spacing w:val="40"/>
          <w:sz w:val="14"/>
        </w:rPr>
        <w:t xml:space="preserve"> </w:t>
      </w:r>
      <w:r>
        <w:rPr>
          <w:color w:val="231F20"/>
          <w:sz w:val="14"/>
        </w:rPr>
        <w:t>61:759</w:t>
      </w:r>
      <w:r>
        <w:rPr>
          <w:color w:val="231F20"/>
          <w:spacing w:val="-19"/>
          <w:sz w:val="14"/>
        </w:rPr>
        <w:t xml:space="preserve"> </w:t>
      </w:r>
      <w:r>
        <w:rPr>
          <w:color w:val="231F20"/>
          <w:sz w:val="14"/>
        </w:rPr>
        <w:t>–</w:t>
      </w:r>
      <w:r>
        <w:rPr>
          <w:color w:val="231F20"/>
          <w:spacing w:val="-19"/>
          <w:sz w:val="14"/>
        </w:rPr>
        <w:t xml:space="preserve"> </w:t>
      </w:r>
      <w:r>
        <w:rPr>
          <w:color w:val="231F20"/>
          <w:sz w:val="14"/>
        </w:rPr>
        <w:t>67.</w:t>
      </w:r>
    </w:p>
    <w:p w14:paraId="3BFAD427" w14:textId="77777777" w:rsidR="00B322A0" w:rsidRDefault="00000000">
      <w:pPr>
        <w:pStyle w:val="Prrafodelista"/>
        <w:numPr>
          <w:ilvl w:val="0"/>
          <w:numId w:val="1"/>
        </w:numPr>
        <w:tabs>
          <w:tab w:val="left" w:pos="348"/>
        </w:tabs>
        <w:jc w:val="both"/>
        <w:rPr>
          <w:sz w:val="14"/>
        </w:rPr>
      </w:pPr>
      <w:r>
        <w:rPr>
          <w:color w:val="231F20"/>
          <w:sz w:val="14"/>
        </w:rPr>
        <w:t>Yuspa</w:t>
      </w:r>
      <w:r>
        <w:rPr>
          <w:color w:val="231F20"/>
          <w:spacing w:val="-5"/>
          <w:sz w:val="14"/>
        </w:rPr>
        <w:t xml:space="preserve"> </w:t>
      </w:r>
      <w:r>
        <w:rPr>
          <w:color w:val="231F20"/>
          <w:sz w:val="14"/>
        </w:rPr>
        <w:t>SH.</w:t>
      </w:r>
      <w:r>
        <w:rPr>
          <w:color w:val="231F20"/>
          <w:spacing w:val="-5"/>
          <w:sz w:val="14"/>
        </w:rPr>
        <w:t xml:space="preserve"> </w:t>
      </w:r>
      <w:r>
        <w:rPr>
          <w:color w:val="231F20"/>
          <w:sz w:val="14"/>
        </w:rPr>
        <w:t>The</w:t>
      </w:r>
      <w:r>
        <w:rPr>
          <w:color w:val="231F20"/>
          <w:spacing w:val="-5"/>
          <w:sz w:val="14"/>
        </w:rPr>
        <w:t xml:space="preserve"> </w:t>
      </w:r>
      <w:r>
        <w:rPr>
          <w:color w:val="231F20"/>
          <w:sz w:val="14"/>
        </w:rPr>
        <w:t>pathogenesis</w:t>
      </w:r>
      <w:r>
        <w:rPr>
          <w:color w:val="231F20"/>
          <w:spacing w:val="-5"/>
          <w:sz w:val="14"/>
        </w:rPr>
        <w:t xml:space="preserve"> </w:t>
      </w:r>
      <w:r>
        <w:rPr>
          <w:color w:val="231F20"/>
          <w:sz w:val="14"/>
        </w:rPr>
        <w:t>of</w:t>
      </w:r>
      <w:r>
        <w:rPr>
          <w:color w:val="231F20"/>
          <w:spacing w:val="-5"/>
          <w:sz w:val="14"/>
        </w:rPr>
        <w:t xml:space="preserve"> </w:t>
      </w:r>
      <w:r>
        <w:rPr>
          <w:color w:val="231F20"/>
          <w:sz w:val="14"/>
        </w:rPr>
        <w:t>squamous</w:t>
      </w:r>
      <w:r>
        <w:rPr>
          <w:color w:val="231F20"/>
          <w:spacing w:val="-5"/>
          <w:sz w:val="14"/>
        </w:rPr>
        <w:t xml:space="preserve"> </w:t>
      </w:r>
      <w:r>
        <w:rPr>
          <w:color w:val="231F20"/>
          <w:sz w:val="14"/>
        </w:rPr>
        <w:t>cell</w:t>
      </w:r>
      <w:r>
        <w:rPr>
          <w:color w:val="231F20"/>
          <w:spacing w:val="-5"/>
          <w:sz w:val="14"/>
        </w:rPr>
        <w:t xml:space="preserve"> </w:t>
      </w:r>
      <w:r>
        <w:rPr>
          <w:color w:val="231F20"/>
          <w:sz w:val="14"/>
        </w:rPr>
        <w:t>cancer:</w:t>
      </w:r>
      <w:r>
        <w:rPr>
          <w:color w:val="231F20"/>
          <w:spacing w:val="-5"/>
          <w:sz w:val="14"/>
        </w:rPr>
        <w:t xml:space="preserve"> </w:t>
      </w:r>
      <w:r>
        <w:rPr>
          <w:color w:val="231F20"/>
          <w:sz w:val="14"/>
        </w:rPr>
        <w:t>lessons</w:t>
      </w:r>
      <w:r>
        <w:rPr>
          <w:color w:val="231F20"/>
          <w:spacing w:val="-5"/>
          <w:sz w:val="14"/>
        </w:rPr>
        <w:t xml:space="preserve"> </w:t>
      </w:r>
      <w:r>
        <w:rPr>
          <w:color w:val="231F20"/>
          <w:sz w:val="14"/>
        </w:rPr>
        <w:t>learned</w:t>
      </w:r>
      <w:r>
        <w:rPr>
          <w:color w:val="231F20"/>
          <w:spacing w:val="-5"/>
          <w:sz w:val="14"/>
        </w:rPr>
        <w:t xml:space="preserve"> </w:t>
      </w:r>
      <w:r>
        <w:rPr>
          <w:color w:val="231F20"/>
          <w:sz w:val="14"/>
        </w:rPr>
        <w:t>from</w:t>
      </w:r>
      <w:r>
        <w:rPr>
          <w:color w:val="231F20"/>
          <w:spacing w:val="-5"/>
          <w:sz w:val="14"/>
        </w:rPr>
        <w:t xml:space="preserve"> </w:t>
      </w:r>
      <w:r>
        <w:rPr>
          <w:color w:val="231F20"/>
          <w:sz w:val="14"/>
        </w:rPr>
        <w:t>studies</w:t>
      </w:r>
      <w:r>
        <w:rPr>
          <w:color w:val="231F20"/>
          <w:spacing w:val="-5"/>
          <w:sz w:val="14"/>
        </w:rPr>
        <w:t xml:space="preserve"> </w:t>
      </w:r>
      <w:r>
        <w:rPr>
          <w:color w:val="231F20"/>
          <w:sz w:val="14"/>
        </w:rPr>
        <w:t>of</w:t>
      </w:r>
      <w:r>
        <w:rPr>
          <w:color w:val="231F20"/>
          <w:spacing w:val="40"/>
          <w:sz w:val="14"/>
        </w:rPr>
        <w:t xml:space="preserve"> </w:t>
      </w:r>
      <w:r>
        <w:rPr>
          <w:color w:val="231F20"/>
          <w:sz w:val="14"/>
        </w:rPr>
        <w:t>skin carcinogenesis–thirty-third G. H. A. Clowes Memorial Award Lecture. Cancer</w:t>
      </w:r>
      <w:r>
        <w:rPr>
          <w:color w:val="231F20"/>
          <w:spacing w:val="40"/>
          <w:sz w:val="14"/>
        </w:rPr>
        <w:t xml:space="preserve"> </w:t>
      </w:r>
      <w:r>
        <w:rPr>
          <w:color w:val="231F20"/>
          <w:sz w:val="14"/>
        </w:rPr>
        <w:t>Res</w:t>
      </w:r>
      <w:r>
        <w:rPr>
          <w:color w:val="231F20"/>
          <w:spacing w:val="33"/>
          <w:sz w:val="14"/>
        </w:rPr>
        <w:t xml:space="preserve"> </w:t>
      </w:r>
      <w:r>
        <w:rPr>
          <w:color w:val="231F20"/>
          <w:sz w:val="14"/>
        </w:rPr>
        <w:t>1994;54:1178</w:t>
      </w:r>
      <w:r>
        <w:rPr>
          <w:color w:val="231F20"/>
          <w:spacing w:val="-12"/>
          <w:sz w:val="14"/>
        </w:rPr>
        <w:t xml:space="preserve"> </w:t>
      </w:r>
      <w:r>
        <w:rPr>
          <w:color w:val="231F20"/>
          <w:sz w:val="14"/>
        </w:rPr>
        <w:t>–</w:t>
      </w:r>
      <w:r>
        <w:rPr>
          <w:color w:val="231F20"/>
          <w:spacing w:val="-12"/>
          <w:sz w:val="14"/>
        </w:rPr>
        <w:t xml:space="preserve"> </w:t>
      </w:r>
      <w:r>
        <w:rPr>
          <w:color w:val="231F20"/>
          <w:sz w:val="14"/>
        </w:rPr>
        <w:t>89.</w:t>
      </w:r>
    </w:p>
    <w:p w14:paraId="20A9BB1B" w14:textId="77777777" w:rsidR="00B322A0" w:rsidRDefault="00000000">
      <w:pPr>
        <w:pStyle w:val="Prrafodelista"/>
        <w:numPr>
          <w:ilvl w:val="0"/>
          <w:numId w:val="1"/>
        </w:numPr>
        <w:tabs>
          <w:tab w:val="left" w:pos="348"/>
        </w:tabs>
        <w:spacing w:line="237" w:lineRule="auto"/>
        <w:jc w:val="both"/>
        <w:rPr>
          <w:sz w:val="14"/>
        </w:rPr>
      </w:pPr>
      <w:r>
        <w:rPr>
          <w:color w:val="231F20"/>
          <w:sz w:val="14"/>
        </w:rPr>
        <w:t>Balmain A, Harris CC. Carcinogenesis in mouse and human cells: parallels and</w:t>
      </w:r>
      <w:r>
        <w:rPr>
          <w:color w:val="231F20"/>
          <w:spacing w:val="40"/>
          <w:sz w:val="14"/>
        </w:rPr>
        <w:t xml:space="preserve"> </w:t>
      </w:r>
      <w:r>
        <w:rPr>
          <w:color w:val="231F20"/>
          <w:sz w:val="14"/>
        </w:rPr>
        <w:t>paradoxes. Carcinogenesis 2000;21:371–7.</w:t>
      </w:r>
    </w:p>
    <w:p w14:paraId="2A7BB39B" w14:textId="77777777" w:rsidR="00B322A0" w:rsidRDefault="00000000">
      <w:pPr>
        <w:pStyle w:val="Prrafodelista"/>
        <w:numPr>
          <w:ilvl w:val="0"/>
          <w:numId w:val="1"/>
        </w:numPr>
        <w:tabs>
          <w:tab w:val="left" w:pos="348"/>
        </w:tabs>
        <w:jc w:val="both"/>
        <w:rPr>
          <w:sz w:val="14"/>
        </w:rPr>
      </w:pPr>
      <w:r>
        <w:rPr>
          <w:color w:val="231F20"/>
          <w:sz w:val="14"/>
        </w:rPr>
        <w:t>Yuspa SH, Hawley-Nelson P, Koehler B, Stanley JR. A survey of transformation</w:t>
      </w:r>
      <w:r>
        <w:rPr>
          <w:color w:val="231F20"/>
          <w:spacing w:val="40"/>
          <w:sz w:val="14"/>
        </w:rPr>
        <w:t xml:space="preserve"> </w:t>
      </w:r>
      <w:r>
        <w:rPr>
          <w:color w:val="231F20"/>
          <w:sz w:val="14"/>
        </w:rPr>
        <w:t>markers in differentiating epidermal cell lines. Cancer Res 1980;40:4694</w:t>
      </w:r>
      <w:r>
        <w:rPr>
          <w:color w:val="231F20"/>
          <w:spacing w:val="-13"/>
          <w:sz w:val="14"/>
        </w:rPr>
        <w:t xml:space="preserve"> </w:t>
      </w:r>
      <w:r>
        <w:rPr>
          <w:color w:val="231F20"/>
          <w:sz w:val="14"/>
        </w:rPr>
        <w:t>–703.</w:t>
      </w:r>
    </w:p>
    <w:p w14:paraId="66A60F02" w14:textId="77777777" w:rsidR="00B322A0" w:rsidRDefault="00B322A0">
      <w:pPr>
        <w:jc w:val="both"/>
        <w:rPr>
          <w:sz w:val="14"/>
        </w:rPr>
        <w:sectPr w:rsidR="00B322A0" w:rsidSect="00BA4BCE">
          <w:pgSz w:w="11700" w:h="15660"/>
          <w:pgMar w:top="620" w:right="560" w:bottom="900" w:left="600" w:header="428" w:footer="719" w:gutter="0"/>
          <w:cols w:num="2" w:space="720" w:equalWidth="0">
            <w:col w:w="5185" w:space="95"/>
            <w:col w:w="5260"/>
          </w:cols>
        </w:sectPr>
      </w:pPr>
    </w:p>
    <w:p w14:paraId="0B9AA76E" w14:textId="77777777" w:rsidR="00B322A0" w:rsidRDefault="00B322A0">
      <w:pPr>
        <w:pStyle w:val="Textoindependiente"/>
        <w:spacing w:before="5"/>
        <w:ind w:left="0"/>
        <w:rPr>
          <w:sz w:val="9"/>
        </w:rPr>
      </w:pPr>
    </w:p>
    <w:p w14:paraId="4715E96C" w14:textId="77777777" w:rsidR="00B322A0" w:rsidRDefault="00B322A0">
      <w:pPr>
        <w:rPr>
          <w:sz w:val="9"/>
        </w:rPr>
        <w:sectPr w:rsidR="00B322A0" w:rsidSect="00BA4BCE">
          <w:pgSz w:w="11700" w:h="15660"/>
          <w:pgMar w:top="620" w:right="560" w:bottom="940" w:left="600" w:header="428" w:footer="719" w:gutter="0"/>
          <w:cols w:space="720"/>
        </w:sectPr>
      </w:pPr>
    </w:p>
    <w:p w14:paraId="2EA8B27F" w14:textId="77777777" w:rsidR="00B322A0" w:rsidRDefault="00000000">
      <w:pPr>
        <w:pStyle w:val="Prrafodelista"/>
        <w:numPr>
          <w:ilvl w:val="0"/>
          <w:numId w:val="1"/>
        </w:numPr>
        <w:tabs>
          <w:tab w:val="left" w:pos="348"/>
        </w:tabs>
        <w:spacing w:before="95" w:line="249" w:lineRule="auto"/>
        <w:ind w:right="38"/>
        <w:jc w:val="both"/>
        <w:rPr>
          <w:sz w:val="14"/>
        </w:rPr>
      </w:pPr>
      <w:r>
        <w:rPr>
          <w:noProof/>
        </w:rPr>
        <mc:AlternateContent>
          <mc:Choice Requires="wps">
            <w:drawing>
              <wp:anchor distT="0" distB="0" distL="0" distR="0" simplePos="0" relativeHeight="15735296" behindDoc="0" locked="0" layoutInCell="1" allowOverlap="1" wp14:anchorId="27521278" wp14:editId="129B40B7">
                <wp:simplePos x="0" y="0"/>
                <wp:positionH relativeFrom="page">
                  <wp:posOffset>7108425</wp:posOffset>
                </wp:positionH>
                <wp:positionV relativeFrom="page">
                  <wp:posOffset>1928114</wp:posOffset>
                </wp:positionV>
                <wp:extent cx="111125" cy="6199505"/>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1125" cy="6199505"/>
                        </a:xfrm>
                        <a:prstGeom prst="rect">
                          <a:avLst/>
                        </a:prstGeom>
                      </wps:spPr>
                      <wps:txbx>
                        <w:txbxContent>
                          <w:p w14:paraId="17AD6486"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32">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wps:txbx>
                      <wps:bodyPr vert="vert" wrap="square" lIns="0" tIns="0" rIns="0" bIns="0" rtlCol="0">
                        <a:noAutofit/>
                      </wps:bodyPr>
                    </wps:wsp>
                  </a:graphicData>
                </a:graphic>
              </wp:anchor>
            </w:drawing>
          </mc:Choice>
          <mc:Fallback>
            <w:pict>
              <v:shape w14:anchorId="27521278" id="Textbox 21" o:spid="_x0000_s1033" type="#_x0000_t202" style="position:absolute;left:0;text-align:left;margin-left:559.7pt;margin-top:151.8pt;width:8.75pt;height:488.15pt;z-index:15735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" filled="f" stroked="f">
                <v:textbox style="layout-flow:vertical" inset="0,0,0,0">
                  <w:txbxContent>
                    <w:p w14:paraId="17AD6486" w14:textId="77777777" w:rsidR="00B322A0" w:rsidRDefault="00000000">
                      <w:pPr>
                        <w:spacing w:before="16"/>
                        <w:ind w:left="20"/>
                        <w:rPr>
                          <w:rFonts w:ascii="Arial MT"/>
                          <w:sz w:val="12"/>
                        </w:rPr>
                      </w:pPr>
                      <w:r>
                        <w:rPr>
                          <w:rFonts w:ascii="Arial MT"/>
                          <w:spacing w:val="-2"/>
                          <w:sz w:val="12"/>
                        </w:rPr>
                        <w:t>Downloaded</w:t>
                      </w:r>
                      <w:r>
                        <w:rPr>
                          <w:rFonts w:ascii="Arial MT"/>
                          <w:spacing w:val="13"/>
                          <w:sz w:val="12"/>
                        </w:rPr>
                        <w:t xml:space="preserve"> </w:t>
                      </w:r>
                      <w:r>
                        <w:rPr>
                          <w:rFonts w:ascii="Arial MT"/>
                          <w:spacing w:val="-2"/>
                          <w:sz w:val="12"/>
                        </w:rPr>
                        <w:t>from</w:t>
                      </w:r>
                      <w:r>
                        <w:rPr>
                          <w:rFonts w:ascii="Arial MT"/>
                          <w:spacing w:val="15"/>
                          <w:sz w:val="12"/>
                        </w:rPr>
                        <w:t xml:space="preserve"> </w:t>
                      </w:r>
                      <w:hyperlink r:id="rId33">
                        <w:r>
                          <w:rPr>
                            <w:rFonts w:ascii="Arial MT"/>
                            <w:spacing w:val="-2"/>
                            <w:sz w:val="12"/>
                          </w:rPr>
                          <w:t>http://aacrjournals.org/cancerres/article-pdf/64/16/5527/2517954/zch01604005527.pdf</w:t>
                        </w:r>
                      </w:hyperlink>
                      <w:r>
                        <w:rPr>
                          <w:rFonts w:ascii="Arial MT"/>
                          <w:spacing w:val="15"/>
                          <w:sz w:val="12"/>
                        </w:rPr>
                        <w:t xml:space="preserve"> </w:t>
                      </w:r>
                      <w:r>
                        <w:rPr>
                          <w:rFonts w:ascii="Arial MT"/>
                          <w:spacing w:val="-2"/>
                          <w:sz w:val="12"/>
                        </w:rPr>
                        <w:t>by</w:t>
                      </w:r>
                      <w:r>
                        <w:rPr>
                          <w:rFonts w:ascii="Arial MT"/>
                          <w:spacing w:val="15"/>
                          <w:sz w:val="12"/>
                        </w:rPr>
                        <w:t xml:space="preserve"> </w:t>
                      </w:r>
                      <w:r>
                        <w:rPr>
                          <w:rFonts w:ascii="Arial MT"/>
                          <w:spacing w:val="-2"/>
                          <w:sz w:val="12"/>
                        </w:rPr>
                        <w:t>Centro</w:t>
                      </w:r>
                      <w:r>
                        <w:rPr>
                          <w:rFonts w:ascii="Arial MT"/>
                          <w:spacing w:val="15"/>
                          <w:sz w:val="12"/>
                        </w:rPr>
                        <w:t xml:space="preserve"> </w:t>
                      </w:r>
                      <w:r>
                        <w:rPr>
                          <w:rFonts w:ascii="Arial MT"/>
                          <w:spacing w:val="-2"/>
                          <w:sz w:val="12"/>
                        </w:rPr>
                        <w:t>Nacional</w:t>
                      </w:r>
                      <w:r>
                        <w:rPr>
                          <w:rFonts w:ascii="Arial MT"/>
                          <w:spacing w:val="15"/>
                          <w:sz w:val="12"/>
                        </w:rPr>
                        <w:t xml:space="preserve"> </w:t>
                      </w:r>
                      <w:r>
                        <w:rPr>
                          <w:rFonts w:ascii="Arial MT"/>
                          <w:spacing w:val="-2"/>
                          <w:sz w:val="12"/>
                        </w:rPr>
                        <w:t>de</w:t>
                      </w:r>
                      <w:r>
                        <w:rPr>
                          <w:rFonts w:ascii="Arial MT"/>
                          <w:spacing w:val="15"/>
                          <w:sz w:val="12"/>
                        </w:rPr>
                        <w:t xml:space="preserve"> </w:t>
                      </w:r>
                      <w:r>
                        <w:rPr>
                          <w:rFonts w:ascii="Arial MT"/>
                          <w:spacing w:val="-2"/>
                          <w:sz w:val="12"/>
                        </w:rPr>
                        <w:t>Investigaciones</w:t>
                      </w:r>
                      <w:r>
                        <w:rPr>
                          <w:rFonts w:ascii="Arial MT"/>
                          <w:spacing w:val="15"/>
                          <w:sz w:val="12"/>
                        </w:rPr>
                        <w:t xml:space="preserve"> </w:t>
                      </w:r>
                      <w:r>
                        <w:rPr>
                          <w:rFonts w:ascii="Arial MT"/>
                          <w:spacing w:val="-2"/>
                          <w:sz w:val="12"/>
                        </w:rPr>
                        <w:t>Oncologicas</w:t>
                      </w:r>
                      <w:r>
                        <w:rPr>
                          <w:rFonts w:ascii="Arial MT"/>
                          <w:spacing w:val="15"/>
                          <w:sz w:val="12"/>
                        </w:rPr>
                        <w:t xml:space="preserve"> </w:t>
                      </w:r>
                      <w:r>
                        <w:rPr>
                          <w:rFonts w:ascii="Arial MT"/>
                          <w:spacing w:val="-2"/>
                          <w:sz w:val="12"/>
                        </w:rPr>
                        <w:t>user</w:t>
                      </w:r>
                      <w:r>
                        <w:rPr>
                          <w:rFonts w:ascii="Arial MT"/>
                          <w:spacing w:val="15"/>
                          <w:sz w:val="12"/>
                        </w:rPr>
                        <w:t xml:space="preserve"> </w:t>
                      </w:r>
                      <w:r>
                        <w:rPr>
                          <w:rFonts w:ascii="Arial MT"/>
                          <w:spacing w:val="-2"/>
                          <w:sz w:val="12"/>
                        </w:rPr>
                        <w:t>on</w:t>
                      </w:r>
                      <w:r>
                        <w:rPr>
                          <w:rFonts w:ascii="Arial MT"/>
                          <w:spacing w:val="15"/>
                          <w:sz w:val="12"/>
                        </w:rPr>
                        <w:t xml:space="preserve"> </w:t>
                      </w:r>
                      <w:r>
                        <w:rPr>
                          <w:rFonts w:ascii="Arial MT"/>
                          <w:spacing w:val="-2"/>
                          <w:sz w:val="12"/>
                        </w:rPr>
                        <w:t>12</w:t>
                      </w:r>
                      <w:r>
                        <w:rPr>
                          <w:rFonts w:ascii="Arial MT"/>
                          <w:spacing w:val="15"/>
                          <w:sz w:val="12"/>
                        </w:rPr>
                        <w:t xml:space="preserve"> </w:t>
                      </w:r>
                      <w:r>
                        <w:rPr>
                          <w:rFonts w:ascii="Arial MT"/>
                          <w:spacing w:val="-2"/>
                          <w:sz w:val="12"/>
                        </w:rPr>
                        <w:t>February</w:t>
                      </w:r>
                      <w:r>
                        <w:rPr>
                          <w:rFonts w:ascii="Arial MT"/>
                          <w:spacing w:val="15"/>
                          <w:sz w:val="12"/>
                        </w:rPr>
                        <w:t xml:space="preserve"> </w:t>
                      </w:r>
                      <w:r>
                        <w:rPr>
                          <w:rFonts w:ascii="Arial MT"/>
                          <w:spacing w:val="-4"/>
                          <w:sz w:val="12"/>
                        </w:rPr>
                        <w:t>2024</w:t>
                      </w:r>
                    </w:p>
                  </w:txbxContent>
                </v:textbox>
                <w10:wrap anchorx="page" anchory="page"/>
              </v:shape>
            </w:pict>
          </mc:Fallback>
        </mc:AlternateContent>
      </w:r>
      <w:r>
        <w:rPr>
          <w:color w:val="231F20"/>
          <w:sz w:val="14"/>
        </w:rPr>
        <w:t>Kulesz-Martin M, Klikenney AE, Holbrook KA, Digernes V, Yuspa SH. Properties</w:t>
      </w:r>
      <w:r>
        <w:rPr>
          <w:color w:val="231F20"/>
          <w:spacing w:val="40"/>
          <w:sz w:val="14"/>
        </w:rPr>
        <w:t xml:space="preserve"> </w:t>
      </w:r>
      <w:r>
        <w:rPr>
          <w:color w:val="231F20"/>
          <w:sz w:val="14"/>
        </w:rPr>
        <w:t>of carcinogen altered mouse epidermal cells resistant to calcium induced terminal</w:t>
      </w:r>
      <w:r>
        <w:rPr>
          <w:color w:val="231F20"/>
          <w:spacing w:val="40"/>
          <w:sz w:val="14"/>
        </w:rPr>
        <w:t xml:space="preserve"> </w:t>
      </w:r>
      <w:r>
        <w:rPr>
          <w:color w:val="231F20"/>
          <w:sz w:val="14"/>
        </w:rPr>
        <w:t>differentiation. Carcinogenesis 1983;4:1367–77.</w:t>
      </w:r>
    </w:p>
    <w:p w14:paraId="18D478F2" w14:textId="77777777" w:rsidR="00B322A0" w:rsidRDefault="00000000">
      <w:pPr>
        <w:pStyle w:val="Prrafodelista"/>
        <w:numPr>
          <w:ilvl w:val="0"/>
          <w:numId w:val="1"/>
        </w:numPr>
        <w:tabs>
          <w:tab w:val="left" w:pos="348"/>
        </w:tabs>
        <w:spacing w:before="1" w:line="249" w:lineRule="auto"/>
        <w:ind w:right="39"/>
        <w:jc w:val="both"/>
        <w:rPr>
          <w:sz w:val="14"/>
        </w:rPr>
      </w:pPr>
      <w:r>
        <w:rPr>
          <w:color w:val="231F20"/>
          <w:sz w:val="14"/>
        </w:rPr>
        <w:t>Yuspa</w:t>
      </w:r>
      <w:r>
        <w:rPr>
          <w:color w:val="231F20"/>
          <w:spacing w:val="-6"/>
          <w:sz w:val="14"/>
        </w:rPr>
        <w:t xml:space="preserve"> </w:t>
      </w:r>
      <w:r>
        <w:rPr>
          <w:color w:val="231F20"/>
          <w:sz w:val="14"/>
        </w:rPr>
        <w:t>SH,</w:t>
      </w:r>
      <w:r>
        <w:rPr>
          <w:color w:val="231F20"/>
          <w:spacing w:val="-6"/>
          <w:sz w:val="14"/>
        </w:rPr>
        <w:t xml:space="preserve"> </w:t>
      </w:r>
      <w:r>
        <w:rPr>
          <w:color w:val="231F20"/>
          <w:sz w:val="14"/>
        </w:rPr>
        <w:t>Morgan</w:t>
      </w:r>
      <w:r>
        <w:rPr>
          <w:color w:val="231F20"/>
          <w:spacing w:val="-6"/>
          <w:sz w:val="14"/>
        </w:rPr>
        <w:t xml:space="preserve"> </w:t>
      </w:r>
      <w:r>
        <w:rPr>
          <w:color w:val="231F20"/>
          <w:sz w:val="14"/>
        </w:rPr>
        <w:t>D,</w:t>
      </w:r>
      <w:r>
        <w:rPr>
          <w:color w:val="231F20"/>
          <w:spacing w:val="-6"/>
          <w:sz w:val="14"/>
        </w:rPr>
        <w:t xml:space="preserve"> </w:t>
      </w:r>
      <w:r>
        <w:rPr>
          <w:color w:val="231F20"/>
          <w:sz w:val="14"/>
        </w:rPr>
        <w:t>Lichti</w:t>
      </w:r>
      <w:r>
        <w:rPr>
          <w:color w:val="231F20"/>
          <w:spacing w:val="-6"/>
          <w:sz w:val="14"/>
        </w:rPr>
        <w:t xml:space="preserve"> </w:t>
      </w:r>
      <w:r>
        <w:rPr>
          <w:color w:val="231F20"/>
          <w:sz w:val="14"/>
        </w:rPr>
        <w:t>U,</w:t>
      </w:r>
      <w:r>
        <w:rPr>
          <w:color w:val="231F20"/>
          <w:spacing w:val="-6"/>
          <w:sz w:val="14"/>
        </w:rPr>
        <w:t xml:space="preserve"> </w:t>
      </w:r>
      <w:r>
        <w:rPr>
          <w:color w:val="231F20"/>
          <w:sz w:val="14"/>
        </w:rPr>
        <w:t>et</w:t>
      </w:r>
      <w:r>
        <w:rPr>
          <w:color w:val="231F20"/>
          <w:spacing w:val="-6"/>
          <w:sz w:val="14"/>
        </w:rPr>
        <w:t xml:space="preserve"> </w:t>
      </w:r>
      <w:r>
        <w:rPr>
          <w:color w:val="231F20"/>
          <w:sz w:val="14"/>
        </w:rPr>
        <w:t>al.</w:t>
      </w:r>
      <w:r>
        <w:rPr>
          <w:color w:val="231F20"/>
          <w:spacing w:val="-6"/>
          <w:sz w:val="14"/>
        </w:rPr>
        <w:t xml:space="preserve"> </w:t>
      </w:r>
      <w:r>
        <w:rPr>
          <w:color w:val="231F20"/>
          <w:sz w:val="14"/>
        </w:rPr>
        <w:t>Cultivation</w:t>
      </w:r>
      <w:r>
        <w:rPr>
          <w:color w:val="231F20"/>
          <w:spacing w:val="-6"/>
          <w:sz w:val="14"/>
        </w:rPr>
        <w:t xml:space="preserve"> </w:t>
      </w:r>
      <w:r>
        <w:rPr>
          <w:color w:val="231F20"/>
          <w:sz w:val="14"/>
        </w:rPr>
        <w:t>and</w:t>
      </w:r>
      <w:r>
        <w:rPr>
          <w:color w:val="231F20"/>
          <w:spacing w:val="-6"/>
          <w:sz w:val="14"/>
        </w:rPr>
        <w:t xml:space="preserve"> </w:t>
      </w:r>
      <w:r>
        <w:rPr>
          <w:color w:val="231F20"/>
          <w:sz w:val="14"/>
        </w:rPr>
        <w:t>characterization</w:t>
      </w:r>
      <w:r>
        <w:rPr>
          <w:color w:val="231F20"/>
          <w:spacing w:val="-6"/>
          <w:sz w:val="14"/>
        </w:rPr>
        <w:t xml:space="preserve"> </w:t>
      </w:r>
      <w:r>
        <w:rPr>
          <w:color w:val="231F20"/>
          <w:sz w:val="14"/>
        </w:rPr>
        <w:t>of</w:t>
      </w:r>
      <w:r>
        <w:rPr>
          <w:color w:val="231F20"/>
          <w:spacing w:val="-6"/>
          <w:sz w:val="14"/>
        </w:rPr>
        <w:t xml:space="preserve"> </w:t>
      </w:r>
      <w:r>
        <w:rPr>
          <w:color w:val="231F20"/>
          <w:sz w:val="14"/>
        </w:rPr>
        <w:t>cells</w:t>
      </w:r>
      <w:r>
        <w:rPr>
          <w:color w:val="231F20"/>
          <w:spacing w:val="-6"/>
          <w:sz w:val="14"/>
        </w:rPr>
        <w:t xml:space="preserve"> </w:t>
      </w:r>
      <w:r>
        <w:rPr>
          <w:color w:val="231F20"/>
          <w:sz w:val="14"/>
        </w:rPr>
        <w:t>derived</w:t>
      </w:r>
      <w:r>
        <w:rPr>
          <w:color w:val="231F20"/>
          <w:spacing w:val="40"/>
          <w:sz w:val="14"/>
        </w:rPr>
        <w:t xml:space="preserve"> </w:t>
      </w:r>
      <w:r>
        <w:rPr>
          <w:color w:val="231F20"/>
          <w:sz w:val="14"/>
        </w:rPr>
        <w:t>from mouse skin papillomas induced by initiation-promotion protocol. Carcinogen-</w:t>
      </w:r>
      <w:r>
        <w:rPr>
          <w:color w:val="231F20"/>
          <w:spacing w:val="40"/>
          <w:sz w:val="14"/>
        </w:rPr>
        <w:t xml:space="preserve"> </w:t>
      </w:r>
      <w:r>
        <w:rPr>
          <w:color w:val="231F20"/>
          <w:sz w:val="14"/>
        </w:rPr>
        <w:t>esis 1986;7:949</w:t>
      </w:r>
      <w:r>
        <w:rPr>
          <w:color w:val="231F20"/>
          <w:spacing w:val="-14"/>
          <w:sz w:val="14"/>
        </w:rPr>
        <w:t xml:space="preserve"> </w:t>
      </w:r>
      <w:r>
        <w:rPr>
          <w:color w:val="231F20"/>
          <w:sz w:val="14"/>
        </w:rPr>
        <w:t>–58.</w:t>
      </w:r>
    </w:p>
    <w:p w14:paraId="2A30A858" w14:textId="77777777" w:rsidR="00B322A0" w:rsidRDefault="00000000">
      <w:pPr>
        <w:pStyle w:val="Prrafodelista"/>
        <w:numPr>
          <w:ilvl w:val="0"/>
          <w:numId w:val="1"/>
        </w:numPr>
        <w:tabs>
          <w:tab w:val="left" w:pos="348"/>
        </w:tabs>
        <w:spacing w:before="2" w:line="249" w:lineRule="auto"/>
        <w:ind w:right="38" w:hanging="245"/>
        <w:jc w:val="both"/>
        <w:rPr>
          <w:sz w:val="14"/>
        </w:rPr>
      </w:pPr>
      <w:r>
        <w:rPr>
          <w:color w:val="231F20"/>
          <w:sz w:val="14"/>
        </w:rPr>
        <w:t>Haddow S, Fowlis SD, Parkinson K, Akhurst RJ, Balmain A. Loss of growth control</w:t>
      </w:r>
      <w:r>
        <w:rPr>
          <w:color w:val="231F20"/>
          <w:spacing w:val="40"/>
          <w:sz w:val="14"/>
        </w:rPr>
        <w:t xml:space="preserve"> </w:t>
      </w:r>
      <w:r>
        <w:rPr>
          <w:color w:val="231F20"/>
          <w:sz w:val="14"/>
        </w:rPr>
        <w:t>by TGF-beta occurs at a late stage of mouse skin carcinogenesis and is independent</w:t>
      </w:r>
      <w:r>
        <w:rPr>
          <w:color w:val="231F20"/>
          <w:spacing w:val="40"/>
          <w:sz w:val="14"/>
        </w:rPr>
        <w:t xml:space="preserve"> </w:t>
      </w:r>
      <w:r>
        <w:rPr>
          <w:color w:val="231F20"/>
          <w:sz w:val="14"/>
        </w:rPr>
        <w:t>of ras gene activation. Oncogene 1991;6:1465–70.</w:t>
      </w:r>
    </w:p>
    <w:p w14:paraId="27B6F5F0" w14:textId="77777777" w:rsidR="00B322A0" w:rsidRDefault="00000000">
      <w:pPr>
        <w:pStyle w:val="Prrafodelista"/>
        <w:numPr>
          <w:ilvl w:val="0"/>
          <w:numId w:val="1"/>
        </w:numPr>
        <w:tabs>
          <w:tab w:val="left" w:pos="348"/>
        </w:tabs>
        <w:spacing w:before="1" w:line="249" w:lineRule="auto"/>
        <w:ind w:right="39" w:hanging="245"/>
        <w:jc w:val="both"/>
        <w:rPr>
          <w:sz w:val="14"/>
        </w:rPr>
      </w:pPr>
      <w:r>
        <w:rPr>
          <w:color w:val="231F20"/>
          <w:sz w:val="14"/>
        </w:rPr>
        <w:t>Fusenig N, Breitkreutz D, Dzarlieva R, et al. Epidermal cell differentiation and</w:t>
      </w:r>
      <w:r>
        <w:rPr>
          <w:color w:val="231F20"/>
          <w:spacing w:val="40"/>
          <w:sz w:val="14"/>
        </w:rPr>
        <w:t xml:space="preserve"> </w:t>
      </w:r>
      <w:r>
        <w:rPr>
          <w:color w:val="231F20"/>
          <w:sz w:val="14"/>
        </w:rPr>
        <w:t>malignant transformation in culture. Cancer Forum 1982;6:209</w:t>
      </w:r>
      <w:r>
        <w:rPr>
          <w:color w:val="231F20"/>
          <w:spacing w:val="-12"/>
          <w:sz w:val="14"/>
        </w:rPr>
        <w:t xml:space="preserve"> </w:t>
      </w:r>
      <w:r>
        <w:rPr>
          <w:color w:val="231F20"/>
          <w:sz w:val="14"/>
        </w:rPr>
        <w:t>–</w:t>
      </w:r>
      <w:r>
        <w:rPr>
          <w:color w:val="231F20"/>
          <w:spacing w:val="-13"/>
          <w:sz w:val="14"/>
        </w:rPr>
        <w:t xml:space="preserve"> </w:t>
      </w:r>
      <w:r>
        <w:rPr>
          <w:color w:val="231F20"/>
          <w:sz w:val="14"/>
        </w:rPr>
        <w:t>40.</w:t>
      </w:r>
    </w:p>
    <w:p w14:paraId="3105B3FB" w14:textId="77777777" w:rsidR="00B322A0" w:rsidRDefault="00000000">
      <w:pPr>
        <w:pStyle w:val="Prrafodelista"/>
        <w:numPr>
          <w:ilvl w:val="0"/>
          <w:numId w:val="1"/>
        </w:numPr>
        <w:tabs>
          <w:tab w:val="left" w:pos="348"/>
        </w:tabs>
        <w:spacing w:before="1" w:line="249" w:lineRule="auto"/>
        <w:ind w:right="38" w:hanging="245"/>
        <w:jc w:val="both"/>
        <w:rPr>
          <w:sz w:val="14"/>
        </w:rPr>
      </w:pPr>
      <w:r>
        <w:rPr>
          <w:color w:val="231F20"/>
          <w:sz w:val="14"/>
        </w:rPr>
        <w:t>Brown K, Quintanilla M, Ramsden M, Kerr IB, Young S, Balmain A. v-ras genes</w:t>
      </w:r>
      <w:r>
        <w:rPr>
          <w:color w:val="231F20"/>
          <w:spacing w:val="40"/>
          <w:sz w:val="14"/>
        </w:rPr>
        <w:t xml:space="preserve"> </w:t>
      </w:r>
      <w:r>
        <w:rPr>
          <w:color w:val="231F20"/>
          <w:sz w:val="14"/>
        </w:rPr>
        <w:t>from harvey and BALB murine sarcoma viruses can act as initiators of two-stage</w:t>
      </w:r>
      <w:r>
        <w:rPr>
          <w:color w:val="231F20"/>
          <w:spacing w:val="40"/>
          <w:sz w:val="14"/>
        </w:rPr>
        <w:t xml:space="preserve"> </w:t>
      </w:r>
      <w:r>
        <w:rPr>
          <w:color w:val="231F20"/>
          <w:sz w:val="14"/>
        </w:rPr>
        <w:t>mouse skin carcinogenesis. Cell 1986;46:447–56.</w:t>
      </w:r>
    </w:p>
    <w:p w14:paraId="42D67C13" w14:textId="77777777" w:rsidR="00B322A0" w:rsidRDefault="00000000">
      <w:pPr>
        <w:pStyle w:val="Prrafodelista"/>
        <w:numPr>
          <w:ilvl w:val="0"/>
          <w:numId w:val="1"/>
        </w:numPr>
        <w:tabs>
          <w:tab w:val="left" w:pos="348"/>
        </w:tabs>
        <w:spacing w:before="2" w:line="249" w:lineRule="auto"/>
        <w:ind w:right="38" w:hanging="245"/>
        <w:jc w:val="both"/>
        <w:rPr>
          <w:sz w:val="14"/>
        </w:rPr>
      </w:pPr>
      <w:r>
        <w:rPr>
          <w:color w:val="231F20"/>
          <w:sz w:val="14"/>
        </w:rPr>
        <w:t>Burns PA, Kemp CJ, Gannon JV, Lane DP, Bremner R, Balmain A. Loss of</w:t>
      </w:r>
      <w:r>
        <w:rPr>
          <w:color w:val="231F20"/>
          <w:spacing w:val="40"/>
          <w:sz w:val="14"/>
        </w:rPr>
        <w:t xml:space="preserve"> </w:t>
      </w:r>
      <w:r>
        <w:rPr>
          <w:color w:val="231F20"/>
          <w:sz w:val="14"/>
        </w:rPr>
        <w:t>heterozigosity and mutational alterations of the p53 gene in skin tumors of interspe-</w:t>
      </w:r>
      <w:r>
        <w:rPr>
          <w:color w:val="231F20"/>
          <w:spacing w:val="40"/>
          <w:sz w:val="14"/>
        </w:rPr>
        <w:t xml:space="preserve"> </w:t>
      </w:r>
      <w:r>
        <w:rPr>
          <w:color w:val="231F20"/>
          <w:sz w:val="14"/>
        </w:rPr>
        <w:t>cific hybrid mice. Oncogene 1991;6:2363–9.</w:t>
      </w:r>
    </w:p>
    <w:p w14:paraId="3962C137" w14:textId="77777777" w:rsidR="00B322A0" w:rsidRDefault="00000000">
      <w:pPr>
        <w:pStyle w:val="Prrafodelista"/>
        <w:numPr>
          <w:ilvl w:val="0"/>
          <w:numId w:val="1"/>
        </w:numPr>
        <w:tabs>
          <w:tab w:val="left" w:pos="348"/>
        </w:tabs>
        <w:spacing w:before="1" w:line="249" w:lineRule="auto"/>
        <w:ind w:right="38" w:hanging="245"/>
        <w:jc w:val="both"/>
        <w:rPr>
          <w:sz w:val="14"/>
        </w:rPr>
      </w:pPr>
      <w:r>
        <w:rPr>
          <w:color w:val="231F20"/>
          <w:sz w:val="14"/>
        </w:rPr>
        <w:t>Buchmann A, Ruggeri B, Klein-Szanto AJP, Balmain A. Progression of squamous</w:t>
      </w:r>
      <w:r>
        <w:rPr>
          <w:color w:val="231F20"/>
          <w:spacing w:val="40"/>
          <w:sz w:val="14"/>
        </w:rPr>
        <w:t xml:space="preserve"> </w:t>
      </w:r>
      <w:r>
        <w:rPr>
          <w:color w:val="231F20"/>
          <w:sz w:val="14"/>
        </w:rPr>
        <w:t>carcinoma cells to spindle carcinomas of mouse slin is associated with an imbalance</w:t>
      </w:r>
      <w:r>
        <w:rPr>
          <w:color w:val="231F20"/>
          <w:spacing w:val="40"/>
          <w:sz w:val="14"/>
        </w:rPr>
        <w:t xml:space="preserve"> </w:t>
      </w:r>
      <w:r>
        <w:rPr>
          <w:color w:val="231F20"/>
          <w:sz w:val="14"/>
        </w:rPr>
        <w:t>of H-ras alleles on chromosome 7. Cancer Res 1991;51:4097–101.</w:t>
      </w:r>
    </w:p>
    <w:p w14:paraId="1C9B2C6E" w14:textId="77777777" w:rsidR="00B322A0" w:rsidRDefault="00000000">
      <w:pPr>
        <w:pStyle w:val="Prrafodelista"/>
        <w:numPr>
          <w:ilvl w:val="0"/>
          <w:numId w:val="1"/>
        </w:numPr>
        <w:tabs>
          <w:tab w:val="left" w:pos="348"/>
        </w:tabs>
        <w:spacing w:before="1" w:line="242" w:lineRule="auto"/>
        <w:ind w:right="38" w:hanging="245"/>
        <w:jc w:val="both"/>
        <w:rPr>
          <w:sz w:val="14"/>
        </w:rPr>
      </w:pPr>
      <w:r>
        <w:rPr>
          <w:color w:val="231F20"/>
          <w:sz w:val="14"/>
        </w:rPr>
        <w:t>Fraga MF, Uriol E, Diego LB, et al. High-performance capillary electrophoretic</w:t>
      </w:r>
      <w:r>
        <w:rPr>
          <w:color w:val="231F20"/>
          <w:spacing w:val="40"/>
          <w:sz w:val="14"/>
        </w:rPr>
        <w:t xml:space="preserve"> </w:t>
      </w:r>
      <w:r>
        <w:rPr>
          <w:color w:val="231F20"/>
          <w:sz w:val="14"/>
        </w:rPr>
        <w:t>method for the quantification of 5-methyl 2</w:t>
      </w:r>
      <w:r>
        <w:rPr>
          <w:rFonts w:ascii="Verdana" w:hAnsi="Verdana"/>
          <w:color w:val="231F20"/>
          <w:sz w:val="14"/>
        </w:rPr>
        <w:t>'</w:t>
      </w:r>
      <w:r>
        <w:rPr>
          <w:color w:val="231F20"/>
          <w:sz w:val="14"/>
        </w:rPr>
        <w:t>-deoxycytidine in genomic DNA: appli-</w:t>
      </w:r>
      <w:r>
        <w:rPr>
          <w:color w:val="231F20"/>
          <w:spacing w:val="40"/>
          <w:sz w:val="14"/>
        </w:rPr>
        <w:t xml:space="preserve"> </w:t>
      </w:r>
      <w:r>
        <w:rPr>
          <w:color w:val="231F20"/>
          <w:sz w:val="14"/>
        </w:rPr>
        <w:t>cation to plant, animal and human cancer tissues. Electrophoresis 2002;23:1677–</w:t>
      </w:r>
      <w:r>
        <w:rPr>
          <w:color w:val="231F20"/>
          <w:spacing w:val="-19"/>
          <w:sz w:val="14"/>
        </w:rPr>
        <w:t xml:space="preserve"> </w:t>
      </w:r>
      <w:r>
        <w:rPr>
          <w:color w:val="231F20"/>
          <w:sz w:val="14"/>
        </w:rPr>
        <w:t>81.</w:t>
      </w:r>
    </w:p>
    <w:p w14:paraId="08043C73" w14:textId="77777777" w:rsidR="00B322A0" w:rsidRDefault="00000000">
      <w:pPr>
        <w:pStyle w:val="Prrafodelista"/>
        <w:numPr>
          <w:ilvl w:val="0"/>
          <w:numId w:val="1"/>
        </w:numPr>
        <w:tabs>
          <w:tab w:val="left" w:pos="348"/>
        </w:tabs>
        <w:spacing w:before="5" w:line="249" w:lineRule="auto"/>
        <w:ind w:right="39" w:hanging="245"/>
        <w:jc w:val="both"/>
        <w:rPr>
          <w:sz w:val="14"/>
        </w:rPr>
      </w:pPr>
      <w:r>
        <w:rPr>
          <w:color w:val="231F20"/>
          <w:sz w:val="14"/>
        </w:rPr>
        <w:t>Paz</w:t>
      </w:r>
      <w:r>
        <w:rPr>
          <w:color w:val="231F20"/>
          <w:spacing w:val="-5"/>
          <w:sz w:val="14"/>
        </w:rPr>
        <w:t xml:space="preserve"> </w:t>
      </w:r>
      <w:r>
        <w:rPr>
          <w:color w:val="231F20"/>
          <w:sz w:val="14"/>
        </w:rPr>
        <w:t>MF,</w:t>
      </w:r>
      <w:r>
        <w:rPr>
          <w:color w:val="231F20"/>
          <w:spacing w:val="-5"/>
          <w:sz w:val="14"/>
        </w:rPr>
        <w:t xml:space="preserve"> </w:t>
      </w:r>
      <w:r>
        <w:rPr>
          <w:color w:val="231F20"/>
          <w:sz w:val="14"/>
        </w:rPr>
        <w:t>Fraga</w:t>
      </w:r>
      <w:r>
        <w:rPr>
          <w:color w:val="231F20"/>
          <w:spacing w:val="-5"/>
          <w:sz w:val="14"/>
        </w:rPr>
        <w:t xml:space="preserve"> </w:t>
      </w:r>
      <w:r>
        <w:rPr>
          <w:color w:val="231F20"/>
          <w:sz w:val="14"/>
        </w:rPr>
        <w:t>MF,</w:t>
      </w:r>
      <w:r>
        <w:rPr>
          <w:color w:val="231F20"/>
          <w:spacing w:val="-5"/>
          <w:sz w:val="14"/>
        </w:rPr>
        <w:t xml:space="preserve"> </w:t>
      </w:r>
      <w:r>
        <w:rPr>
          <w:color w:val="231F20"/>
          <w:sz w:val="14"/>
        </w:rPr>
        <w:t>Avila</w:t>
      </w:r>
      <w:r>
        <w:rPr>
          <w:color w:val="231F20"/>
          <w:spacing w:val="-5"/>
          <w:sz w:val="14"/>
        </w:rPr>
        <w:t xml:space="preserve"> </w:t>
      </w:r>
      <w:r>
        <w:rPr>
          <w:color w:val="231F20"/>
          <w:sz w:val="14"/>
        </w:rPr>
        <w:t>S,</w:t>
      </w:r>
      <w:r>
        <w:rPr>
          <w:color w:val="231F20"/>
          <w:spacing w:val="-5"/>
          <w:sz w:val="14"/>
        </w:rPr>
        <w:t xml:space="preserve"> </w:t>
      </w:r>
      <w:r>
        <w:rPr>
          <w:color w:val="231F20"/>
          <w:sz w:val="14"/>
        </w:rPr>
        <w:t>et</w:t>
      </w:r>
      <w:r>
        <w:rPr>
          <w:color w:val="231F20"/>
          <w:spacing w:val="-5"/>
          <w:sz w:val="14"/>
        </w:rPr>
        <w:t xml:space="preserve"> </w:t>
      </w:r>
      <w:r>
        <w:rPr>
          <w:color w:val="231F20"/>
          <w:sz w:val="14"/>
        </w:rPr>
        <w:t>al.</w:t>
      </w:r>
      <w:r>
        <w:rPr>
          <w:color w:val="231F20"/>
          <w:spacing w:val="-5"/>
          <w:sz w:val="14"/>
        </w:rPr>
        <w:t xml:space="preserve"> </w:t>
      </w:r>
      <w:r>
        <w:rPr>
          <w:color w:val="231F20"/>
          <w:sz w:val="14"/>
        </w:rPr>
        <w:t>A</w:t>
      </w:r>
      <w:r>
        <w:rPr>
          <w:color w:val="231F20"/>
          <w:spacing w:val="-5"/>
          <w:sz w:val="14"/>
        </w:rPr>
        <w:t xml:space="preserve"> </w:t>
      </w:r>
      <w:r>
        <w:rPr>
          <w:color w:val="231F20"/>
          <w:sz w:val="14"/>
        </w:rPr>
        <w:t>systematic</w:t>
      </w:r>
      <w:r>
        <w:rPr>
          <w:color w:val="231F20"/>
          <w:spacing w:val="-5"/>
          <w:sz w:val="14"/>
        </w:rPr>
        <w:t xml:space="preserve"> </w:t>
      </w:r>
      <w:r>
        <w:rPr>
          <w:color w:val="231F20"/>
          <w:sz w:val="14"/>
        </w:rPr>
        <w:t>profile</w:t>
      </w:r>
      <w:r>
        <w:rPr>
          <w:color w:val="231F20"/>
          <w:spacing w:val="-5"/>
          <w:sz w:val="14"/>
        </w:rPr>
        <w:t xml:space="preserve"> </w:t>
      </w:r>
      <w:r>
        <w:rPr>
          <w:color w:val="231F20"/>
          <w:sz w:val="14"/>
        </w:rPr>
        <w:t>of</w:t>
      </w:r>
      <w:r>
        <w:rPr>
          <w:color w:val="231F20"/>
          <w:spacing w:val="-5"/>
          <w:sz w:val="14"/>
        </w:rPr>
        <w:t xml:space="preserve"> </w:t>
      </w:r>
      <w:r>
        <w:rPr>
          <w:color w:val="231F20"/>
          <w:sz w:val="14"/>
        </w:rPr>
        <w:t>DNA</w:t>
      </w:r>
      <w:r>
        <w:rPr>
          <w:color w:val="231F20"/>
          <w:spacing w:val="-5"/>
          <w:sz w:val="14"/>
        </w:rPr>
        <w:t xml:space="preserve"> </w:t>
      </w:r>
      <w:r>
        <w:rPr>
          <w:color w:val="231F20"/>
          <w:sz w:val="14"/>
        </w:rPr>
        <w:t>methylation</w:t>
      </w:r>
      <w:r>
        <w:rPr>
          <w:color w:val="231F20"/>
          <w:spacing w:val="-5"/>
          <w:sz w:val="14"/>
        </w:rPr>
        <w:t xml:space="preserve"> </w:t>
      </w:r>
      <w:r>
        <w:rPr>
          <w:color w:val="231F20"/>
          <w:sz w:val="14"/>
        </w:rPr>
        <w:t>in</w:t>
      </w:r>
      <w:r>
        <w:rPr>
          <w:color w:val="231F20"/>
          <w:spacing w:val="-5"/>
          <w:sz w:val="14"/>
        </w:rPr>
        <w:t xml:space="preserve"> </w:t>
      </w:r>
      <w:r>
        <w:rPr>
          <w:color w:val="231F20"/>
          <w:sz w:val="14"/>
        </w:rPr>
        <w:t>human</w:t>
      </w:r>
      <w:r>
        <w:rPr>
          <w:color w:val="231F20"/>
          <w:spacing w:val="40"/>
          <w:sz w:val="14"/>
        </w:rPr>
        <w:t xml:space="preserve"> </w:t>
      </w:r>
      <w:r>
        <w:rPr>
          <w:color w:val="231F20"/>
          <w:sz w:val="14"/>
        </w:rPr>
        <w:t>cancer cell lines. Cancer Res 2003;63:1114</w:t>
      </w:r>
      <w:r>
        <w:rPr>
          <w:color w:val="231F20"/>
          <w:spacing w:val="-10"/>
          <w:sz w:val="14"/>
        </w:rPr>
        <w:t xml:space="preserve"> </w:t>
      </w:r>
      <w:r>
        <w:rPr>
          <w:color w:val="231F20"/>
          <w:sz w:val="14"/>
        </w:rPr>
        <w:t>–21.</w:t>
      </w:r>
    </w:p>
    <w:p w14:paraId="258FBC01" w14:textId="77777777" w:rsidR="00B322A0" w:rsidRDefault="00000000">
      <w:pPr>
        <w:pStyle w:val="Prrafodelista"/>
        <w:numPr>
          <w:ilvl w:val="0"/>
          <w:numId w:val="1"/>
        </w:numPr>
        <w:tabs>
          <w:tab w:val="left" w:pos="348"/>
        </w:tabs>
        <w:spacing w:before="1" w:line="249" w:lineRule="auto"/>
        <w:ind w:right="38" w:hanging="245"/>
        <w:jc w:val="both"/>
        <w:rPr>
          <w:sz w:val="14"/>
        </w:rPr>
      </w:pPr>
      <w:r>
        <w:rPr>
          <w:color w:val="231F20"/>
          <w:sz w:val="14"/>
        </w:rPr>
        <w:t>Habib M, Fares F, Bourgeois CA, et al. DNA global hypomethylation in EBV-</w:t>
      </w:r>
      <w:r>
        <w:rPr>
          <w:color w:val="231F20"/>
          <w:spacing w:val="40"/>
          <w:sz w:val="14"/>
        </w:rPr>
        <w:t xml:space="preserve"> </w:t>
      </w:r>
      <w:r>
        <w:rPr>
          <w:color w:val="231F20"/>
          <w:sz w:val="14"/>
        </w:rPr>
        <w:t>transformed interphase nuclei. Exp Cell Res 1999;249:46</w:t>
      </w:r>
      <w:r>
        <w:rPr>
          <w:color w:val="231F20"/>
          <w:spacing w:val="-11"/>
          <w:sz w:val="14"/>
        </w:rPr>
        <w:t xml:space="preserve"> </w:t>
      </w:r>
      <w:r>
        <w:rPr>
          <w:color w:val="231F20"/>
          <w:sz w:val="14"/>
        </w:rPr>
        <w:t>–53.</w:t>
      </w:r>
    </w:p>
    <w:p w14:paraId="162C3CFF" w14:textId="77777777" w:rsidR="00B322A0" w:rsidRDefault="00000000">
      <w:pPr>
        <w:pStyle w:val="Prrafodelista"/>
        <w:numPr>
          <w:ilvl w:val="0"/>
          <w:numId w:val="1"/>
        </w:numPr>
        <w:tabs>
          <w:tab w:val="left" w:pos="348"/>
        </w:tabs>
        <w:spacing w:line="249" w:lineRule="auto"/>
        <w:ind w:right="38" w:hanging="245"/>
        <w:jc w:val="both"/>
        <w:rPr>
          <w:sz w:val="14"/>
        </w:rPr>
      </w:pPr>
      <w:r>
        <w:rPr>
          <w:color w:val="231F20"/>
          <w:sz w:val="14"/>
        </w:rPr>
        <w:t>Herman JG, Graff JR, Myohanen S, Nelkin BD, Baylin SB. Methylation-specific</w:t>
      </w:r>
      <w:r>
        <w:rPr>
          <w:color w:val="231F20"/>
          <w:spacing w:val="40"/>
          <w:sz w:val="14"/>
        </w:rPr>
        <w:t xml:space="preserve"> </w:t>
      </w:r>
      <w:r>
        <w:rPr>
          <w:color w:val="231F20"/>
          <w:sz w:val="14"/>
        </w:rPr>
        <w:t>PCR: a novel PCR assay for methylation status of CpG islands. Proc Natl Acad Sci</w:t>
      </w:r>
      <w:r>
        <w:rPr>
          <w:color w:val="231F20"/>
          <w:spacing w:val="40"/>
          <w:sz w:val="14"/>
        </w:rPr>
        <w:t xml:space="preserve"> </w:t>
      </w:r>
      <w:r>
        <w:rPr>
          <w:color w:val="231F20"/>
          <w:sz w:val="14"/>
        </w:rPr>
        <w:t>USA 1996;93:9821–</w:t>
      </w:r>
      <w:r>
        <w:rPr>
          <w:color w:val="231F20"/>
          <w:spacing w:val="-14"/>
          <w:sz w:val="14"/>
        </w:rPr>
        <w:t xml:space="preserve"> </w:t>
      </w:r>
      <w:r>
        <w:rPr>
          <w:color w:val="231F20"/>
          <w:sz w:val="14"/>
        </w:rPr>
        <w:t>6.</w:t>
      </w:r>
    </w:p>
    <w:p w14:paraId="3A2CB2D1" w14:textId="77777777" w:rsidR="00B322A0" w:rsidRDefault="00000000">
      <w:pPr>
        <w:pStyle w:val="Prrafodelista"/>
        <w:numPr>
          <w:ilvl w:val="0"/>
          <w:numId w:val="1"/>
        </w:numPr>
        <w:tabs>
          <w:tab w:val="left" w:pos="348"/>
        </w:tabs>
        <w:spacing w:before="1" w:line="249" w:lineRule="auto"/>
        <w:ind w:right="38" w:hanging="245"/>
        <w:jc w:val="both"/>
        <w:rPr>
          <w:sz w:val="14"/>
        </w:rPr>
      </w:pPr>
      <w:r>
        <w:rPr>
          <w:color w:val="231F20"/>
          <w:sz w:val="14"/>
        </w:rPr>
        <w:t>Ballestar</w:t>
      </w:r>
      <w:r>
        <w:rPr>
          <w:color w:val="231F20"/>
          <w:spacing w:val="-1"/>
          <w:sz w:val="14"/>
        </w:rPr>
        <w:t xml:space="preserve"> </w:t>
      </w:r>
      <w:r>
        <w:rPr>
          <w:color w:val="231F20"/>
          <w:sz w:val="14"/>
        </w:rPr>
        <w:t>E,</w:t>
      </w:r>
      <w:r>
        <w:rPr>
          <w:color w:val="231F20"/>
          <w:spacing w:val="-1"/>
          <w:sz w:val="14"/>
        </w:rPr>
        <w:t xml:space="preserve"> </w:t>
      </w:r>
      <w:r>
        <w:rPr>
          <w:color w:val="231F20"/>
          <w:sz w:val="14"/>
        </w:rPr>
        <w:t>Paz</w:t>
      </w:r>
      <w:r>
        <w:rPr>
          <w:color w:val="231F20"/>
          <w:spacing w:val="-1"/>
          <w:sz w:val="14"/>
        </w:rPr>
        <w:t xml:space="preserve"> </w:t>
      </w:r>
      <w:r>
        <w:rPr>
          <w:color w:val="231F20"/>
          <w:sz w:val="14"/>
        </w:rPr>
        <w:t>MF,</w:t>
      </w:r>
      <w:r>
        <w:rPr>
          <w:color w:val="231F20"/>
          <w:spacing w:val="-1"/>
          <w:sz w:val="14"/>
        </w:rPr>
        <w:t xml:space="preserve"> </w:t>
      </w:r>
      <w:r>
        <w:rPr>
          <w:color w:val="231F20"/>
          <w:sz w:val="14"/>
        </w:rPr>
        <w:t>Valle</w:t>
      </w:r>
      <w:r>
        <w:rPr>
          <w:color w:val="231F20"/>
          <w:spacing w:val="-1"/>
          <w:sz w:val="14"/>
        </w:rPr>
        <w:t xml:space="preserve"> </w:t>
      </w:r>
      <w:r>
        <w:rPr>
          <w:color w:val="231F20"/>
          <w:sz w:val="14"/>
        </w:rPr>
        <w:t>L,</w:t>
      </w:r>
      <w:r>
        <w:rPr>
          <w:color w:val="231F20"/>
          <w:spacing w:val="-1"/>
          <w:sz w:val="14"/>
        </w:rPr>
        <w:t xml:space="preserve"> </w:t>
      </w:r>
      <w:r>
        <w:rPr>
          <w:color w:val="231F20"/>
          <w:sz w:val="14"/>
        </w:rPr>
        <w:t>et</w:t>
      </w:r>
      <w:r>
        <w:rPr>
          <w:color w:val="231F20"/>
          <w:spacing w:val="-1"/>
          <w:sz w:val="14"/>
        </w:rPr>
        <w:t xml:space="preserve"> </w:t>
      </w:r>
      <w:r>
        <w:rPr>
          <w:color w:val="231F20"/>
          <w:sz w:val="14"/>
        </w:rPr>
        <w:t>al.</w:t>
      </w:r>
      <w:r>
        <w:rPr>
          <w:color w:val="231F20"/>
          <w:spacing w:val="-1"/>
          <w:sz w:val="14"/>
        </w:rPr>
        <w:t xml:space="preserve"> </w:t>
      </w:r>
      <w:r>
        <w:rPr>
          <w:color w:val="231F20"/>
          <w:sz w:val="14"/>
        </w:rPr>
        <w:t>Methyl-CpG</w:t>
      </w:r>
      <w:r>
        <w:rPr>
          <w:color w:val="231F20"/>
          <w:spacing w:val="-1"/>
          <w:sz w:val="14"/>
        </w:rPr>
        <w:t xml:space="preserve"> </w:t>
      </w:r>
      <w:r>
        <w:rPr>
          <w:color w:val="231F20"/>
          <w:sz w:val="14"/>
        </w:rPr>
        <w:t>binding</w:t>
      </w:r>
      <w:r>
        <w:rPr>
          <w:color w:val="231F20"/>
          <w:spacing w:val="-1"/>
          <w:sz w:val="14"/>
        </w:rPr>
        <w:t xml:space="preserve"> </w:t>
      </w:r>
      <w:r>
        <w:rPr>
          <w:color w:val="231F20"/>
          <w:sz w:val="14"/>
        </w:rPr>
        <w:t>proteins</w:t>
      </w:r>
      <w:r>
        <w:rPr>
          <w:color w:val="231F20"/>
          <w:spacing w:val="-1"/>
          <w:sz w:val="14"/>
        </w:rPr>
        <w:t xml:space="preserve"> </w:t>
      </w:r>
      <w:r>
        <w:rPr>
          <w:color w:val="231F20"/>
          <w:sz w:val="14"/>
        </w:rPr>
        <w:t>identify</w:t>
      </w:r>
      <w:r>
        <w:rPr>
          <w:color w:val="231F20"/>
          <w:spacing w:val="-1"/>
          <w:sz w:val="14"/>
        </w:rPr>
        <w:t xml:space="preserve"> </w:t>
      </w:r>
      <w:r>
        <w:rPr>
          <w:color w:val="231F20"/>
          <w:sz w:val="14"/>
        </w:rPr>
        <w:t>novel</w:t>
      </w:r>
      <w:r>
        <w:rPr>
          <w:color w:val="231F20"/>
          <w:spacing w:val="-1"/>
          <w:sz w:val="14"/>
        </w:rPr>
        <w:t xml:space="preserve"> </w:t>
      </w:r>
      <w:r>
        <w:rPr>
          <w:color w:val="231F20"/>
          <w:sz w:val="14"/>
        </w:rPr>
        <w:t>sites</w:t>
      </w:r>
      <w:r>
        <w:rPr>
          <w:color w:val="231F20"/>
          <w:spacing w:val="40"/>
          <w:sz w:val="14"/>
        </w:rPr>
        <w:t xml:space="preserve"> </w:t>
      </w:r>
      <w:r>
        <w:rPr>
          <w:color w:val="231F20"/>
          <w:sz w:val="14"/>
        </w:rPr>
        <w:t>of epigenetic inactivation in human cancer. EMBO J 2003;22:6335–</w:t>
      </w:r>
      <w:r>
        <w:rPr>
          <w:color w:val="231F20"/>
          <w:spacing w:val="-14"/>
          <w:sz w:val="14"/>
        </w:rPr>
        <w:t xml:space="preserve"> </w:t>
      </w:r>
      <w:r>
        <w:rPr>
          <w:color w:val="231F20"/>
          <w:sz w:val="14"/>
        </w:rPr>
        <w:t>45.</w:t>
      </w:r>
    </w:p>
    <w:p w14:paraId="5FD4CDE5" w14:textId="77777777" w:rsidR="00B322A0" w:rsidRDefault="00000000">
      <w:pPr>
        <w:pStyle w:val="Prrafodelista"/>
        <w:numPr>
          <w:ilvl w:val="0"/>
          <w:numId w:val="1"/>
        </w:numPr>
        <w:tabs>
          <w:tab w:val="left" w:pos="348"/>
        </w:tabs>
        <w:spacing w:before="1" w:line="249" w:lineRule="auto"/>
        <w:ind w:right="38" w:hanging="245"/>
        <w:jc w:val="both"/>
        <w:rPr>
          <w:sz w:val="14"/>
        </w:rPr>
      </w:pPr>
      <w:r>
        <w:rPr>
          <w:color w:val="231F20"/>
          <w:sz w:val="14"/>
        </w:rPr>
        <w:t>Tanaka</w:t>
      </w:r>
      <w:r>
        <w:rPr>
          <w:color w:val="231F20"/>
          <w:spacing w:val="38"/>
          <w:sz w:val="14"/>
        </w:rPr>
        <w:t xml:space="preserve"> </w:t>
      </w:r>
      <w:r>
        <w:rPr>
          <w:color w:val="231F20"/>
          <w:sz w:val="14"/>
        </w:rPr>
        <w:t>TS,</w:t>
      </w:r>
      <w:r>
        <w:rPr>
          <w:color w:val="231F20"/>
          <w:spacing w:val="38"/>
          <w:sz w:val="14"/>
        </w:rPr>
        <w:t xml:space="preserve"> </w:t>
      </w:r>
      <w:r>
        <w:rPr>
          <w:color w:val="231F20"/>
          <w:sz w:val="14"/>
        </w:rPr>
        <w:t>Jaradat</w:t>
      </w:r>
      <w:r>
        <w:rPr>
          <w:color w:val="231F20"/>
          <w:spacing w:val="38"/>
          <w:sz w:val="14"/>
        </w:rPr>
        <w:t xml:space="preserve"> </w:t>
      </w:r>
      <w:r>
        <w:rPr>
          <w:color w:val="231F20"/>
          <w:sz w:val="14"/>
        </w:rPr>
        <w:t>SA,</w:t>
      </w:r>
      <w:r>
        <w:rPr>
          <w:color w:val="231F20"/>
          <w:spacing w:val="38"/>
          <w:sz w:val="14"/>
        </w:rPr>
        <w:t xml:space="preserve"> </w:t>
      </w:r>
      <w:r>
        <w:rPr>
          <w:color w:val="231F20"/>
          <w:sz w:val="14"/>
        </w:rPr>
        <w:t>Lim</w:t>
      </w:r>
      <w:r>
        <w:rPr>
          <w:color w:val="231F20"/>
          <w:spacing w:val="38"/>
          <w:sz w:val="14"/>
        </w:rPr>
        <w:t xml:space="preserve"> </w:t>
      </w:r>
      <w:r>
        <w:rPr>
          <w:color w:val="231F20"/>
          <w:sz w:val="14"/>
        </w:rPr>
        <w:t>MK,</w:t>
      </w:r>
      <w:r>
        <w:rPr>
          <w:color w:val="231F20"/>
          <w:spacing w:val="38"/>
          <w:sz w:val="14"/>
        </w:rPr>
        <w:t xml:space="preserve"> </w:t>
      </w:r>
      <w:r>
        <w:rPr>
          <w:color w:val="231F20"/>
          <w:sz w:val="14"/>
        </w:rPr>
        <w:t>et</w:t>
      </w:r>
      <w:r>
        <w:rPr>
          <w:color w:val="231F20"/>
          <w:spacing w:val="38"/>
          <w:sz w:val="14"/>
        </w:rPr>
        <w:t xml:space="preserve"> </w:t>
      </w:r>
      <w:r>
        <w:rPr>
          <w:color w:val="231F20"/>
          <w:sz w:val="14"/>
        </w:rPr>
        <w:t>al.</w:t>
      </w:r>
      <w:r>
        <w:rPr>
          <w:color w:val="231F20"/>
          <w:spacing w:val="38"/>
          <w:sz w:val="14"/>
        </w:rPr>
        <w:t xml:space="preserve"> </w:t>
      </w:r>
      <w:r>
        <w:rPr>
          <w:color w:val="231F20"/>
          <w:sz w:val="14"/>
        </w:rPr>
        <w:t>Genome-wide</w:t>
      </w:r>
      <w:r>
        <w:rPr>
          <w:color w:val="231F20"/>
          <w:spacing w:val="38"/>
          <w:sz w:val="14"/>
        </w:rPr>
        <w:t xml:space="preserve"> </w:t>
      </w:r>
      <w:r>
        <w:rPr>
          <w:color w:val="231F20"/>
          <w:sz w:val="14"/>
        </w:rPr>
        <w:t>expression</w:t>
      </w:r>
      <w:r>
        <w:rPr>
          <w:color w:val="231F20"/>
          <w:spacing w:val="38"/>
          <w:sz w:val="14"/>
        </w:rPr>
        <w:t xml:space="preserve"> </w:t>
      </w:r>
      <w:r>
        <w:rPr>
          <w:color w:val="231F20"/>
          <w:sz w:val="14"/>
        </w:rPr>
        <w:t>profiling</w:t>
      </w:r>
      <w:r>
        <w:rPr>
          <w:color w:val="231F20"/>
          <w:spacing w:val="38"/>
          <w:sz w:val="14"/>
        </w:rPr>
        <w:t xml:space="preserve"> </w:t>
      </w:r>
      <w:r>
        <w:rPr>
          <w:color w:val="231F20"/>
          <w:sz w:val="14"/>
        </w:rPr>
        <w:t>of</w:t>
      </w:r>
      <w:r>
        <w:rPr>
          <w:color w:val="231F20"/>
          <w:spacing w:val="40"/>
          <w:sz w:val="14"/>
        </w:rPr>
        <w:t xml:space="preserve"> </w:t>
      </w:r>
      <w:r>
        <w:rPr>
          <w:color w:val="231F20"/>
          <w:sz w:val="14"/>
        </w:rPr>
        <w:t>mid-gestation placenta and embryo using 15k mouse developmental cDNA micro-</w:t>
      </w:r>
      <w:r>
        <w:rPr>
          <w:color w:val="231F20"/>
          <w:spacing w:val="40"/>
          <w:sz w:val="14"/>
        </w:rPr>
        <w:t xml:space="preserve"> </w:t>
      </w:r>
      <w:r>
        <w:rPr>
          <w:color w:val="231F20"/>
          <w:sz w:val="14"/>
        </w:rPr>
        <w:t>array. Proc Natl Acad Sci USA 2000;97:9127–32.</w:t>
      </w:r>
    </w:p>
    <w:p w14:paraId="01EBBF75" w14:textId="77777777" w:rsidR="00B322A0" w:rsidRDefault="00000000">
      <w:pPr>
        <w:pStyle w:val="Prrafodelista"/>
        <w:numPr>
          <w:ilvl w:val="0"/>
          <w:numId w:val="1"/>
        </w:numPr>
        <w:tabs>
          <w:tab w:val="left" w:pos="348"/>
        </w:tabs>
        <w:spacing w:before="1" w:line="249" w:lineRule="auto"/>
        <w:ind w:right="38" w:hanging="245"/>
        <w:jc w:val="both"/>
        <w:rPr>
          <w:sz w:val="14"/>
        </w:rPr>
      </w:pPr>
      <w:r>
        <w:rPr>
          <w:color w:val="231F20"/>
          <w:sz w:val="14"/>
        </w:rPr>
        <w:t>Feinberg AP, Vogelstein B. Hypomethylation distinguishes genes of some human</w:t>
      </w:r>
      <w:r>
        <w:rPr>
          <w:color w:val="231F20"/>
          <w:spacing w:val="40"/>
          <w:sz w:val="14"/>
        </w:rPr>
        <w:t xml:space="preserve"> </w:t>
      </w:r>
      <w:r>
        <w:rPr>
          <w:color w:val="231F20"/>
          <w:sz w:val="14"/>
        </w:rPr>
        <w:t>cancers from their normal counterparts. Nature 1983;301:89</w:t>
      </w:r>
      <w:r>
        <w:rPr>
          <w:color w:val="231F20"/>
          <w:spacing w:val="-11"/>
          <w:sz w:val="14"/>
        </w:rPr>
        <w:t xml:space="preserve"> </w:t>
      </w:r>
      <w:r>
        <w:rPr>
          <w:color w:val="231F20"/>
          <w:sz w:val="14"/>
        </w:rPr>
        <w:t>–92.</w:t>
      </w:r>
    </w:p>
    <w:p w14:paraId="4C1CA93F" w14:textId="77777777" w:rsidR="00B322A0" w:rsidRDefault="00000000">
      <w:pPr>
        <w:pStyle w:val="Prrafodelista"/>
        <w:numPr>
          <w:ilvl w:val="0"/>
          <w:numId w:val="1"/>
        </w:numPr>
        <w:tabs>
          <w:tab w:val="left" w:pos="348"/>
        </w:tabs>
        <w:spacing w:line="249" w:lineRule="auto"/>
        <w:ind w:right="38" w:hanging="245"/>
        <w:jc w:val="both"/>
        <w:rPr>
          <w:sz w:val="14"/>
        </w:rPr>
      </w:pPr>
      <w:r>
        <w:rPr>
          <w:color w:val="231F20"/>
          <w:sz w:val="14"/>
        </w:rPr>
        <w:t>Ehrlich M. DNA hypomethylation in cancer. In: Ehrlich M, editor. DNA alterations</w:t>
      </w:r>
      <w:r>
        <w:rPr>
          <w:color w:val="231F20"/>
          <w:spacing w:val="40"/>
          <w:sz w:val="14"/>
        </w:rPr>
        <w:t xml:space="preserve"> </w:t>
      </w:r>
      <w:r>
        <w:rPr>
          <w:color w:val="231F20"/>
          <w:sz w:val="14"/>
        </w:rPr>
        <w:t>in</w:t>
      </w:r>
      <w:r>
        <w:rPr>
          <w:color w:val="231F20"/>
          <w:spacing w:val="-6"/>
          <w:sz w:val="14"/>
        </w:rPr>
        <w:t xml:space="preserve"> </w:t>
      </w:r>
      <w:r>
        <w:rPr>
          <w:color w:val="231F20"/>
          <w:sz w:val="14"/>
        </w:rPr>
        <w:t>cancer:</w:t>
      </w:r>
      <w:r>
        <w:rPr>
          <w:color w:val="231F20"/>
          <w:spacing w:val="-6"/>
          <w:sz w:val="14"/>
        </w:rPr>
        <w:t xml:space="preserve"> </w:t>
      </w:r>
      <w:r>
        <w:rPr>
          <w:color w:val="231F20"/>
          <w:sz w:val="14"/>
        </w:rPr>
        <w:t>genetic</w:t>
      </w:r>
      <w:r>
        <w:rPr>
          <w:color w:val="231F20"/>
          <w:spacing w:val="-6"/>
          <w:sz w:val="14"/>
        </w:rPr>
        <w:t xml:space="preserve"> </w:t>
      </w:r>
      <w:r>
        <w:rPr>
          <w:color w:val="231F20"/>
          <w:sz w:val="14"/>
        </w:rPr>
        <w:t>and</w:t>
      </w:r>
      <w:r>
        <w:rPr>
          <w:color w:val="231F20"/>
          <w:spacing w:val="-6"/>
          <w:sz w:val="14"/>
        </w:rPr>
        <w:t xml:space="preserve"> </w:t>
      </w:r>
      <w:r>
        <w:rPr>
          <w:color w:val="231F20"/>
          <w:sz w:val="14"/>
        </w:rPr>
        <w:t>epigenetic</w:t>
      </w:r>
      <w:r>
        <w:rPr>
          <w:color w:val="231F20"/>
          <w:spacing w:val="-6"/>
          <w:sz w:val="14"/>
        </w:rPr>
        <w:t xml:space="preserve"> </w:t>
      </w:r>
      <w:r>
        <w:rPr>
          <w:color w:val="231F20"/>
          <w:sz w:val="14"/>
        </w:rPr>
        <w:t>changes.</w:t>
      </w:r>
      <w:r>
        <w:rPr>
          <w:color w:val="231F20"/>
          <w:spacing w:val="-6"/>
          <w:sz w:val="14"/>
        </w:rPr>
        <w:t xml:space="preserve"> </w:t>
      </w:r>
      <w:r>
        <w:rPr>
          <w:color w:val="231F20"/>
          <w:sz w:val="14"/>
        </w:rPr>
        <w:t>Natick:</w:t>
      </w:r>
      <w:r>
        <w:rPr>
          <w:color w:val="231F20"/>
          <w:spacing w:val="-6"/>
          <w:sz w:val="14"/>
        </w:rPr>
        <w:t xml:space="preserve"> </w:t>
      </w:r>
      <w:r>
        <w:rPr>
          <w:color w:val="231F20"/>
          <w:sz w:val="14"/>
        </w:rPr>
        <w:t>Eaton</w:t>
      </w:r>
      <w:r>
        <w:rPr>
          <w:color w:val="231F20"/>
          <w:spacing w:val="-6"/>
          <w:sz w:val="14"/>
        </w:rPr>
        <w:t xml:space="preserve"> </w:t>
      </w:r>
      <w:r>
        <w:rPr>
          <w:color w:val="231F20"/>
          <w:sz w:val="14"/>
        </w:rPr>
        <w:t>Publishing;</w:t>
      </w:r>
      <w:r>
        <w:rPr>
          <w:color w:val="231F20"/>
          <w:spacing w:val="-6"/>
          <w:sz w:val="14"/>
        </w:rPr>
        <w:t xml:space="preserve"> </w:t>
      </w:r>
      <w:r>
        <w:rPr>
          <w:color w:val="231F20"/>
          <w:sz w:val="14"/>
        </w:rPr>
        <w:t>2000.</w:t>
      </w:r>
      <w:r>
        <w:rPr>
          <w:color w:val="231F20"/>
          <w:spacing w:val="-6"/>
          <w:sz w:val="14"/>
        </w:rPr>
        <w:t xml:space="preserve"> </w:t>
      </w:r>
      <w:r>
        <w:rPr>
          <w:color w:val="231F20"/>
          <w:sz w:val="14"/>
        </w:rPr>
        <w:t>p.</w:t>
      </w:r>
      <w:r>
        <w:rPr>
          <w:color w:val="231F20"/>
          <w:spacing w:val="-6"/>
          <w:sz w:val="14"/>
        </w:rPr>
        <w:t xml:space="preserve"> </w:t>
      </w:r>
      <w:r>
        <w:rPr>
          <w:color w:val="231F20"/>
          <w:sz w:val="14"/>
        </w:rPr>
        <w:t>273–91.</w:t>
      </w:r>
    </w:p>
    <w:p w14:paraId="0295A325" w14:textId="77777777" w:rsidR="00B322A0" w:rsidRDefault="00000000">
      <w:pPr>
        <w:pStyle w:val="Prrafodelista"/>
        <w:numPr>
          <w:ilvl w:val="0"/>
          <w:numId w:val="1"/>
        </w:numPr>
        <w:tabs>
          <w:tab w:val="left" w:pos="348"/>
        </w:tabs>
        <w:spacing w:before="1" w:line="249" w:lineRule="auto"/>
        <w:ind w:right="39" w:hanging="245"/>
        <w:jc w:val="both"/>
        <w:rPr>
          <w:sz w:val="14"/>
        </w:rPr>
      </w:pPr>
      <w:r>
        <w:rPr>
          <w:color w:val="231F20"/>
          <w:sz w:val="14"/>
        </w:rPr>
        <w:t>Hernandez-Blazquez FJ, Habib M, Dumollard JM, et al. Evaluation of global DNA</w:t>
      </w:r>
      <w:r>
        <w:rPr>
          <w:color w:val="231F20"/>
          <w:spacing w:val="40"/>
          <w:sz w:val="14"/>
        </w:rPr>
        <w:t xml:space="preserve"> </w:t>
      </w:r>
      <w:r>
        <w:rPr>
          <w:color w:val="231F20"/>
          <w:sz w:val="14"/>
        </w:rPr>
        <w:t>hypomethylation</w:t>
      </w:r>
      <w:r>
        <w:rPr>
          <w:color w:val="231F20"/>
          <w:spacing w:val="-3"/>
          <w:sz w:val="14"/>
        </w:rPr>
        <w:t xml:space="preserve"> </w:t>
      </w:r>
      <w:r>
        <w:rPr>
          <w:color w:val="231F20"/>
          <w:sz w:val="14"/>
        </w:rPr>
        <w:t>in</w:t>
      </w:r>
      <w:r>
        <w:rPr>
          <w:color w:val="231F20"/>
          <w:spacing w:val="-3"/>
          <w:sz w:val="14"/>
        </w:rPr>
        <w:t xml:space="preserve"> </w:t>
      </w:r>
      <w:r>
        <w:rPr>
          <w:color w:val="231F20"/>
          <w:sz w:val="14"/>
        </w:rPr>
        <w:t>human</w:t>
      </w:r>
      <w:r>
        <w:rPr>
          <w:color w:val="231F20"/>
          <w:spacing w:val="-3"/>
          <w:sz w:val="14"/>
        </w:rPr>
        <w:t xml:space="preserve"> </w:t>
      </w:r>
      <w:r>
        <w:rPr>
          <w:color w:val="231F20"/>
          <w:sz w:val="14"/>
        </w:rPr>
        <w:t>colon</w:t>
      </w:r>
      <w:r>
        <w:rPr>
          <w:color w:val="231F20"/>
          <w:spacing w:val="-3"/>
          <w:sz w:val="14"/>
        </w:rPr>
        <w:t xml:space="preserve"> </w:t>
      </w:r>
      <w:r>
        <w:rPr>
          <w:color w:val="231F20"/>
          <w:sz w:val="14"/>
        </w:rPr>
        <w:t>cancer</w:t>
      </w:r>
      <w:r>
        <w:rPr>
          <w:color w:val="231F20"/>
          <w:spacing w:val="-3"/>
          <w:sz w:val="14"/>
        </w:rPr>
        <w:t xml:space="preserve"> </w:t>
      </w:r>
      <w:r>
        <w:rPr>
          <w:color w:val="231F20"/>
          <w:sz w:val="14"/>
        </w:rPr>
        <w:t>tissues</w:t>
      </w:r>
      <w:r>
        <w:rPr>
          <w:color w:val="231F20"/>
          <w:spacing w:val="-3"/>
          <w:sz w:val="14"/>
        </w:rPr>
        <w:t xml:space="preserve"> </w:t>
      </w:r>
      <w:r>
        <w:rPr>
          <w:color w:val="231F20"/>
          <w:sz w:val="14"/>
        </w:rPr>
        <w:t>by</w:t>
      </w:r>
      <w:r>
        <w:rPr>
          <w:color w:val="231F20"/>
          <w:spacing w:val="-3"/>
          <w:sz w:val="14"/>
        </w:rPr>
        <w:t xml:space="preserve"> </w:t>
      </w:r>
      <w:r>
        <w:rPr>
          <w:color w:val="231F20"/>
          <w:sz w:val="14"/>
        </w:rPr>
        <w:t>immunohistochemistry</w:t>
      </w:r>
      <w:r>
        <w:rPr>
          <w:color w:val="231F20"/>
          <w:spacing w:val="-3"/>
          <w:sz w:val="14"/>
        </w:rPr>
        <w:t xml:space="preserve"> </w:t>
      </w:r>
      <w:r>
        <w:rPr>
          <w:color w:val="231F20"/>
          <w:sz w:val="14"/>
        </w:rPr>
        <w:t>and</w:t>
      </w:r>
      <w:r>
        <w:rPr>
          <w:color w:val="231F20"/>
          <w:spacing w:val="-3"/>
          <w:sz w:val="14"/>
        </w:rPr>
        <w:t xml:space="preserve"> </w:t>
      </w:r>
      <w:r>
        <w:rPr>
          <w:color w:val="231F20"/>
          <w:sz w:val="14"/>
        </w:rPr>
        <w:t>image</w:t>
      </w:r>
      <w:r>
        <w:rPr>
          <w:color w:val="231F20"/>
          <w:spacing w:val="40"/>
          <w:sz w:val="14"/>
        </w:rPr>
        <w:t xml:space="preserve"> </w:t>
      </w:r>
      <w:r>
        <w:rPr>
          <w:color w:val="231F20"/>
          <w:sz w:val="14"/>
        </w:rPr>
        <w:t>analysis. Gut 2000;47:689</w:t>
      </w:r>
      <w:r>
        <w:rPr>
          <w:color w:val="231F20"/>
          <w:spacing w:val="-9"/>
          <w:sz w:val="14"/>
        </w:rPr>
        <w:t xml:space="preserve"> </w:t>
      </w:r>
      <w:r>
        <w:rPr>
          <w:color w:val="231F20"/>
          <w:sz w:val="14"/>
        </w:rPr>
        <w:t>–93.</w:t>
      </w:r>
    </w:p>
    <w:p w14:paraId="41A070F9" w14:textId="77777777" w:rsidR="00B322A0" w:rsidRDefault="00000000">
      <w:pPr>
        <w:pStyle w:val="Prrafodelista"/>
        <w:numPr>
          <w:ilvl w:val="0"/>
          <w:numId w:val="1"/>
        </w:numPr>
        <w:tabs>
          <w:tab w:val="left" w:pos="348"/>
        </w:tabs>
        <w:spacing w:before="95"/>
        <w:ind w:hanging="245"/>
        <w:jc w:val="both"/>
        <w:rPr>
          <w:sz w:val="14"/>
        </w:rPr>
      </w:pPr>
      <w:r>
        <w:br w:type="column"/>
      </w:r>
      <w:r>
        <w:rPr>
          <w:color w:val="231F20"/>
          <w:sz w:val="14"/>
        </w:rPr>
        <w:t>Cano A, Perez-Moreno MA, Rodrigo I, et al. The transcription factor snail controls</w:t>
      </w:r>
      <w:r>
        <w:rPr>
          <w:color w:val="231F20"/>
          <w:spacing w:val="40"/>
          <w:sz w:val="14"/>
        </w:rPr>
        <w:t xml:space="preserve"> </w:t>
      </w:r>
      <w:r>
        <w:rPr>
          <w:color w:val="231F20"/>
          <w:sz w:val="14"/>
        </w:rPr>
        <w:t>epithelial-mesenchymal transitions by repressing E-cadherin expression. Nat Cell</w:t>
      </w:r>
      <w:r>
        <w:rPr>
          <w:color w:val="231F20"/>
          <w:spacing w:val="40"/>
          <w:sz w:val="14"/>
        </w:rPr>
        <w:t xml:space="preserve"> </w:t>
      </w:r>
      <w:r>
        <w:rPr>
          <w:color w:val="231F20"/>
          <w:sz w:val="14"/>
        </w:rPr>
        <w:t>Biol</w:t>
      </w:r>
      <w:r>
        <w:rPr>
          <w:color w:val="231F20"/>
          <w:spacing w:val="33"/>
          <w:sz w:val="14"/>
        </w:rPr>
        <w:t xml:space="preserve"> </w:t>
      </w:r>
      <w:r>
        <w:rPr>
          <w:color w:val="231F20"/>
          <w:sz w:val="14"/>
        </w:rPr>
        <w:t>2000;2:76</w:t>
      </w:r>
      <w:r>
        <w:rPr>
          <w:color w:val="231F20"/>
          <w:spacing w:val="-12"/>
          <w:sz w:val="14"/>
        </w:rPr>
        <w:t xml:space="preserve"> </w:t>
      </w:r>
      <w:r>
        <w:rPr>
          <w:color w:val="231F20"/>
          <w:sz w:val="14"/>
        </w:rPr>
        <w:t>–</w:t>
      </w:r>
      <w:r>
        <w:rPr>
          <w:color w:val="231F20"/>
          <w:spacing w:val="-12"/>
          <w:sz w:val="14"/>
        </w:rPr>
        <w:t xml:space="preserve"> </w:t>
      </w:r>
      <w:r>
        <w:rPr>
          <w:color w:val="231F20"/>
          <w:sz w:val="14"/>
        </w:rPr>
        <w:t>83.</w:t>
      </w:r>
    </w:p>
    <w:p w14:paraId="431AD295" w14:textId="77777777" w:rsidR="00B322A0" w:rsidRDefault="00000000">
      <w:pPr>
        <w:pStyle w:val="Prrafodelista"/>
        <w:numPr>
          <w:ilvl w:val="0"/>
          <w:numId w:val="1"/>
        </w:numPr>
        <w:tabs>
          <w:tab w:val="left" w:pos="348"/>
        </w:tabs>
        <w:spacing w:line="237" w:lineRule="auto"/>
        <w:ind w:right="115" w:hanging="245"/>
        <w:jc w:val="both"/>
        <w:rPr>
          <w:sz w:val="14"/>
        </w:rPr>
      </w:pPr>
      <w:r>
        <w:rPr>
          <w:color w:val="231F20"/>
          <w:sz w:val="14"/>
        </w:rPr>
        <w:t>Ballestar E, Esteller M. The impact of chromatin in human cancer: linking DNA</w:t>
      </w:r>
      <w:r>
        <w:rPr>
          <w:color w:val="231F20"/>
          <w:spacing w:val="40"/>
          <w:sz w:val="14"/>
        </w:rPr>
        <w:t xml:space="preserve"> </w:t>
      </w:r>
      <w:r>
        <w:rPr>
          <w:color w:val="231F20"/>
          <w:sz w:val="14"/>
        </w:rPr>
        <w:t>methylation to gene silencing. Carcinogenesis 2002;23:1103–9.</w:t>
      </w:r>
    </w:p>
    <w:p w14:paraId="770D6B9A" w14:textId="77777777" w:rsidR="00B322A0" w:rsidRDefault="00000000">
      <w:pPr>
        <w:pStyle w:val="Prrafodelista"/>
        <w:numPr>
          <w:ilvl w:val="0"/>
          <w:numId w:val="1"/>
        </w:numPr>
        <w:tabs>
          <w:tab w:val="left" w:pos="348"/>
        </w:tabs>
        <w:ind w:hanging="245"/>
        <w:jc w:val="both"/>
        <w:rPr>
          <w:sz w:val="14"/>
        </w:rPr>
      </w:pPr>
      <w:r>
        <w:rPr>
          <w:color w:val="231F20"/>
          <w:sz w:val="14"/>
        </w:rPr>
        <w:t>Weiskirchen R, Gunther K. The CRP/MLP/TLP family of LIM domain proteins:</w:t>
      </w:r>
      <w:r>
        <w:rPr>
          <w:color w:val="231F20"/>
          <w:spacing w:val="40"/>
          <w:sz w:val="14"/>
        </w:rPr>
        <w:t xml:space="preserve"> </w:t>
      </w:r>
      <w:r>
        <w:rPr>
          <w:color w:val="231F20"/>
          <w:sz w:val="14"/>
        </w:rPr>
        <w:t>acting by connecting. Bioessays 2003;25:152–</w:t>
      </w:r>
      <w:r>
        <w:rPr>
          <w:color w:val="231F20"/>
          <w:spacing w:val="-10"/>
          <w:sz w:val="14"/>
        </w:rPr>
        <w:t xml:space="preserve"> </w:t>
      </w:r>
      <w:r>
        <w:rPr>
          <w:color w:val="231F20"/>
          <w:sz w:val="14"/>
        </w:rPr>
        <w:t>62.</w:t>
      </w:r>
    </w:p>
    <w:p w14:paraId="58E5EC1A" w14:textId="77777777" w:rsidR="00B322A0" w:rsidRDefault="00000000">
      <w:pPr>
        <w:pStyle w:val="Prrafodelista"/>
        <w:numPr>
          <w:ilvl w:val="0"/>
          <w:numId w:val="1"/>
        </w:numPr>
        <w:tabs>
          <w:tab w:val="left" w:pos="348"/>
        </w:tabs>
        <w:ind w:hanging="245"/>
        <w:jc w:val="both"/>
        <w:rPr>
          <w:sz w:val="14"/>
        </w:rPr>
      </w:pPr>
      <w:r>
        <w:rPr>
          <w:color w:val="231F20"/>
          <w:sz w:val="14"/>
        </w:rPr>
        <w:t>Baxter RC. Signalling pathways involved in antiproliferative effects of IGFBP-3: a</w:t>
      </w:r>
      <w:r>
        <w:rPr>
          <w:color w:val="231F20"/>
          <w:spacing w:val="40"/>
          <w:sz w:val="14"/>
        </w:rPr>
        <w:t xml:space="preserve"> </w:t>
      </w:r>
      <w:r>
        <w:rPr>
          <w:color w:val="231F20"/>
          <w:sz w:val="14"/>
        </w:rPr>
        <w:t>review. Mol Pathol 2001;54:145–</w:t>
      </w:r>
      <w:r>
        <w:rPr>
          <w:color w:val="231F20"/>
          <w:spacing w:val="-8"/>
          <w:sz w:val="14"/>
        </w:rPr>
        <w:t xml:space="preserve"> </w:t>
      </w:r>
      <w:r>
        <w:rPr>
          <w:color w:val="231F20"/>
          <w:sz w:val="14"/>
        </w:rPr>
        <w:t>8.</w:t>
      </w:r>
    </w:p>
    <w:p w14:paraId="079F96B6" w14:textId="77777777" w:rsidR="00B322A0" w:rsidRDefault="00000000">
      <w:pPr>
        <w:pStyle w:val="Prrafodelista"/>
        <w:numPr>
          <w:ilvl w:val="0"/>
          <w:numId w:val="1"/>
        </w:numPr>
        <w:tabs>
          <w:tab w:val="left" w:pos="348"/>
        </w:tabs>
        <w:ind w:hanging="245"/>
        <w:jc w:val="both"/>
        <w:rPr>
          <w:sz w:val="14"/>
        </w:rPr>
      </w:pPr>
      <w:r>
        <w:rPr>
          <w:color w:val="231F20"/>
          <w:sz w:val="14"/>
        </w:rPr>
        <w:t>Murakami</w:t>
      </w:r>
      <w:r>
        <w:rPr>
          <w:color w:val="231F20"/>
          <w:spacing w:val="-4"/>
          <w:sz w:val="14"/>
        </w:rPr>
        <w:t xml:space="preserve"> </w:t>
      </w:r>
      <w:r>
        <w:rPr>
          <w:color w:val="231F20"/>
          <w:sz w:val="14"/>
        </w:rPr>
        <w:t>T,</w:t>
      </w:r>
      <w:r>
        <w:rPr>
          <w:color w:val="231F20"/>
          <w:spacing w:val="-4"/>
          <w:sz w:val="14"/>
        </w:rPr>
        <w:t xml:space="preserve"> </w:t>
      </w:r>
      <w:r>
        <w:rPr>
          <w:color w:val="231F20"/>
          <w:sz w:val="14"/>
        </w:rPr>
        <w:t>Maki</w:t>
      </w:r>
      <w:r>
        <w:rPr>
          <w:color w:val="231F20"/>
          <w:spacing w:val="-4"/>
          <w:sz w:val="14"/>
        </w:rPr>
        <w:t xml:space="preserve"> </w:t>
      </w:r>
      <w:r>
        <w:rPr>
          <w:color w:val="231F20"/>
          <w:sz w:val="14"/>
        </w:rPr>
        <w:t>W,</w:t>
      </w:r>
      <w:r>
        <w:rPr>
          <w:color w:val="231F20"/>
          <w:spacing w:val="-4"/>
          <w:sz w:val="14"/>
        </w:rPr>
        <w:t xml:space="preserve"> </w:t>
      </w:r>
      <w:r>
        <w:rPr>
          <w:color w:val="231F20"/>
          <w:sz w:val="14"/>
        </w:rPr>
        <w:t>Cardones</w:t>
      </w:r>
      <w:r>
        <w:rPr>
          <w:color w:val="231F20"/>
          <w:spacing w:val="-4"/>
          <w:sz w:val="14"/>
        </w:rPr>
        <w:t xml:space="preserve"> </w:t>
      </w:r>
      <w:r>
        <w:rPr>
          <w:color w:val="231F20"/>
          <w:sz w:val="14"/>
        </w:rPr>
        <w:t>AR,</w:t>
      </w:r>
      <w:r>
        <w:rPr>
          <w:color w:val="231F20"/>
          <w:spacing w:val="-4"/>
          <w:sz w:val="14"/>
        </w:rPr>
        <w:t xml:space="preserve"> </w:t>
      </w:r>
      <w:r>
        <w:rPr>
          <w:color w:val="231F20"/>
          <w:sz w:val="14"/>
        </w:rPr>
        <w:t>et</w:t>
      </w:r>
      <w:r>
        <w:rPr>
          <w:color w:val="231F20"/>
          <w:spacing w:val="-4"/>
          <w:sz w:val="14"/>
        </w:rPr>
        <w:t xml:space="preserve"> </w:t>
      </w:r>
      <w:r>
        <w:rPr>
          <w:color w:val="231F20"/>
          <w:sz w:val="14"/>
        </w:rPr>
        <w:t>al.</w:t>
      </w:r>
      <w:r>
        <w:rPr>
          <w:color w:val="231F20"/>
          <w:spacing w:val="-4"/>
          <w:sz w:val="14"/>
        </w:rPr>
        <w:t xml:space="preserve"> </w:t>
      </w:r>
      <w:r>
        <w:rPr>
          <w:color w:val="231F20"/>
          <w:sz w:val="14"/>
        </w:rPr>
        <w:t>Expression</w:t>
      </w:r>
      <w:r>
        <w:rPr>
          <w:color w:val="231F20"/>
          <w:spacing w:val="-4"/>
          <w:sz w:val="14"/>
        </w:rPr>
        <w:t xml:space="preserve"> </w:t>
      </w:r>
      <w:r>
        <w:rPr>
          <w:color w:val="231F20"/>
          <w:sz w:val="14"/>
        </w:rPr>
        <w:t>of</w:t>
      </w:r>
      <w:r>
        <w:rPr>
          <w:color w:val="231F20"/>
          <w:spacing w:val="-4"/>
          <w:sz w:val="14"/>
        </w:rPr>
        <w:t xml:space="preserve"> </w:t>
      </w:r>
      <w:r>
        <w:rPr>
          <w:color w:val="231F20"/>
          <w:sz w:val="14"/>
        </w:rPr>
        <w:t>CXC</w:t>
      </w:r>
      <w:r>
        <w:rPr>
          <w:color w:val="231F20"/>
          <w:spacing w:val="-4"/>
          <w:sz w:val="14"/>
        </w:rPr>
        <w:t xml:space="preserve"> </w:t>
      </w:r>
      <w:r>
        <w:rPr>
          <w:color w:val="231F20"/>
          <w:sz w:val="14"/>
        </w:rPr>
        <w:t>chemokine</w:t>
      </w:r>
      <w:r>
        <w:rPr>
          <w:color w:val="231F20"/>
          <w:spacing w:val="-4"/>
          <w:sz w:val="14"/>
        </w:rPr>
        <w:t xml:space="preserve"> </w:t>
      </w:r>
      <w:r>
        <w:rPr>
          <w:color w:val="231F20"/>
          <w:sz w:val="14"/>
        </w:rPr>
        <w:t>receptor-4</w:t>
      </w:r>
      <w:r>
        <w:rPr>
          <w:color w:val="231F20"/>
          <w:spacing w:val="40"/>
          <w:sz w:val="14"/>
        </w:rPr>
        <w:t xml:space="preserve"> </w:t>
      </w:r>
      <w:r>
        <w:rPr>
          <w:color w:val="231F20"/>
          <w:sz w:val="14"/>
        </w:rPr>
        <w:t>enhances the pulmonary metastatic potential of murine B16 melanoma cells. Cancer</w:t>
      </w:r>
      <w:r>
        <w:rPr>
          <w:color w:val="231F20"/>
          <w:spacing w:val="40"/>
          <w:sz w:val="14"/>
        </w:rPr>
        <w:t xml:space="preserve"> </w:t>
      </w:r>
      <w:r>
        <w:rPr>
          <w:color w:val="231F20"/>
          <w:sz w:val="14"/>
        </w:rPr>
        <w:t>Res 2002;62:7328</w:t>
      </w:r>
      <w:r>
        <w:rPr>
          <w:color w:val="231F20"/>
          <w:spacing w:val="-14"/>
          <w:sz w:val="14"/>
        </w:rPr>
        <w:t xml:space="preserve"> </w:t>
      </w:r>
      <w:r>
        <w:rPr>
          <w:color w:val="231F20"/>
          <w:sz w:val="14"/>
        </w:rPr>
        <w:t>–34.</w:t>
      </w:r>
    </w:p>
    <w:p w14:paraId="106581DD" w14:textId="77777777" w:rsidR="00B322A0" w:rsidRDefault="00000000">
      <w:pPr>
        <w:pStyle w:val="Prrafodelista"/>
        <w:numPr>
          <w:ilvl w:val="0"/>
          <w:numId w:val="1"/>
        </w:numPr>
        <w:tabs>
          <w:tab w:val="left" w:pos="348"/>
        </w:tabs>
        <w:spacing w:line="237" w:lineRule="auto"/>
        <w:ind w:hanging="245"/>
        <w:jc w:val="both"/>
        <w:rPr>
          <w:sz w:val="14"/>
        </w:rPr>
      </w:pPr>
      <w:r>
        <w:rPr>
          <w:color w:val="231F20"/>
          <w:sz w:val="14"/>
        </w:rPr>
        <w:t>Manevich Y, Sweitzer T, Pak JH, Feinstein SI, Muzykantov V, Fisher AB. 1-Cys</w:t>
      </w:r>
      <w:r>
        <w:rPr>
          <w:color w:val="231F20"/>
          <w:spacing w:val="40"/>
          <w:sz w:val="14"/>
        </w:rPr>
        <w:t xml:space="preserve"> </w:t>
      </w:r>
      <w:r>
        <w:rPr>
          <w:color w:val="231F20"/>
          <w:sz w:val="14"/>
        </w:rPr>
        <w:t>peroxiredoxin overexpression protects cells against phospholipid peroxidation-</w:t>
      </w:r>
      <w:r>
        <w:rPr>
          <w:color w:val="231F20"/>
          <w:spacing w:val="40"/>
          <w:sz w:val="14"/>
        </w:rPr>
        <w:t xml:space="preserve"> </w:t>
      </w:r>
      <w:r>
        <w:rPr>
          <w:color w:val="231F20"/>
          <w:sz w:val="14"/>
        </w:rPr>
        <w:t>mediated membrane damage. Proc Natl Acad Sci USA 2002;99:11599</w:t>
      </w:r>
      <w:r>
        <w:rPr>
          <w:color w:val="231F20"/>
          <w:spacing w:val="-13"/>
          <w:sz w:val="14"/>
        </w:rPr>
        <w:t xml:space="preserve"> </w:t>
      </w:r>
      <w:r>
        <w:rPr>
          <w:color w:val="231F20"/>
          <w:sz w:val="14"/>
        </w:rPr>
        <w:t>–</w:t>
      </w:r>
      <w:r>
        <w:rPr>
          <w:color w:val="231F20"/>
          <w:spacing w:val="-15"/>
          <w:sz w:val="14"/>
        </w:rPr>
        <w:t xml:space="preserve"> </w:t>
      </w:r>
      <w:r>
        <w:rPr>
          <w:color w:val="231F20"/>
          <w:sz w:val="14"/>
        </w:rPr>
        <w:t>604.</w:t>
      </w:r>
    </w:p>
    <w:p w14:paraId="2133A22D" w14:textId="77777777" w:rsidR="00B322A0" w:rsidRDefault="00000000">
      <w:pPr>
        <w:pStyle w:val="Prrafodelista"/>
        <w:numPr>
          <w:ilvl w:val="0"/>
          <w:numId w:val="1"/>
        </w:numPr>
        <w:tabs>
          <w:tab w:val="left" w:pos="348"/>
        </w:tabs>
        <w:ind w:hanging="245"/>
        <w:jc w:val="both"/>
        <w:rPr>
          <w:sz w:val="14"/>
        </w:rPr>
      </w:pPr>
      <w:r>
        <w:rPr>
          <w:color w:val="231F20"/>
          <w:sz w:val="14"/>
        </w:rPr>
        <w:t>Boukamp P, Petrussevska RT, Breitkreutz D, Hornung J, Markham A, Fusenig NE.</w:t>
      </w:r>
      <w:r>
        <w:rPr>
          <w:color w:val="231F20"/>
          <w:spacing w:val="40"/>
          <w:sz w:val="14"/>
        </w:rPr>
        <w:t xml:space="preserve"> </w:t>
      </w:r>
      <w:r>
        <w:rPr>
          <w:color w:val="231F20"/>
          <w:sz w:val="14"/>
        </w:rPr>
        <w:t>Normal</w:t>
      </w:r>
      <w:r>
        <w:rPr>
          <w:color w:val="231F20"/>
          <w:spacing w:val="-8"/>
          <w:sz w:val="14"/>
        </w:rPr>
        <w:t xml:space="preserve"> </w:t>
      </w:r>
      <w:r>
        <w:rPr>
          <w:color w:val="231F20"/>
          <w:sz w:val="14"/>
        </w:rPr>
        <w:t>keratinization</w:t>
      </w:r>
      <w:r>
        <w:rPr>
          <w:color w:val="231F20"/>
          <w:spacing w:val="-8"/>
          <w:sz w:val="14"/>
        </w:rPr>
        <w:t xml:space="preserve"> </w:t>
      </w:r>
      <w:r>
        <w:rPr>
          <w:color w:val="231F20"/>
          <w:sz w:val="14"/>
        </w:rPr>
        <w:t>in</w:t>
      </w:r>
      <w:r>
        <w:rPr>
          <w:color w:val="231F20"/>
          <w:spacing w:val="-8"/>
          <w:sz w:val="14"/>
        </w:rPr>
        <w:t xml:space="preserve"> </w:t>
      </w:r>
      <w:r>
        <w:rPr>
          <w:color w:val="231F20"/>
          <w:sz w:val="14"/>
        </w:rPr>
        <w:t>a</w:t>
      </w:r>
      <w:r>
        <w:rPr>
          <w:color w:val="231F20"/>
          <w:spacing w:val="-8"/>
          <w:sz w:val="14"/>
        </w:rPr>
        <w:t xml:space="preserve"> </w:t>
      </w:r>
      <w:r>
        <w:rPr>
          <w:color w:val="231F20"/>
          <w:sz w:val="14"/>
        </w:rPr>
        <w:t>spontaneously</w:t>
      </w:r>
      <w:r>
        <w:rPr>
          <w:color w:val="231F20"/>
          <w:spacing w:val="-8"/>
          <w:sz w:val="14"/>
        </w:rPr>
        <w:t xml:space="preserve"> </w:t>
      </w:r>
      <w:r>
        <w:rPr>
          <w:color w:val="231F20"/>
          <w:sz w:val="14"/>
        </w:rPr>
        <w:t>immortalized</w:t>
      </w:r>
      <w:r>
        <w:rPr>
          <w:color w:val="231F20"/>
          <w:spacing w:val="-8"/>
          <w:sz w:val="14"/>
        </w:rPr>
        <w:t xml:space="preserve"> </w:t>
      </w:r>
      <w:r>
        <w:rPr>
          <w:color w:val="231F20"/>
          <w:sz w:val="14"/>
        </w:rPr>
        <w:t>aneuploid</w:t>
      </w:r>
      <w:r>
        <w:rPr>
          <w:color w:val="231F20"/>
          <w:spacing w:val="-8"/>
          <w:sz w:val="14"/>
        </w:rPr>
        <w:t xml:space="preserve"> </w:t>
      </w:r>
      <w:r>
        <w:rPr>
          <w:color w:val="231F20"/>
          <w:sz w:val="14"/>
        </w:rPr>
        <w:t>human</w:t>
      </w:r>
      <w:r>
        <w:rPr>
          <w:color w:val="231F20"/>
          <w:spacing w:val="-8"/>
          <w:sz w:val="14"/>
        </w:rPr>
        <w:t xml:space="preserve"> </w:t>
      </w:r>
      <w:r>
        <w:rPr>
          <w:color w:val="231F20"/>
          <w:sz w:val="14"/>
        </w:rPr>
        <w:t>keratinocyte</w:t>
      </w:r>
      <w:r>
        <w:rPr>
          <w:color w:val="231F20"/>
          <w:spacing w:val="40"/>
          <w:sz w:val="14"/>
        </w:rPr>
        <w:t xml:space="preserve"> </w:t>
      </w:r>
      <w:r>
        <w:rPr>
          <w:color w:val="231F20"/>
          <w:sz w:val="14"/>
        </w:rPr>
        <w:t>cell line. J Cell Biol 1988;106:761–71.</w:t>
      </w:r>
    </w:p>
    <w:p w14:paraId="54E1563D" w14:textId="77777777" w:rsidR="00B322A0" w:rsidRDefault="00000000">
      <w:pPr>
        <w:pStyle w:val="Prrafodelista"/>
        <w:numPr>
          <w:ilvl w:val="0"/>
          <w:numId w:val="1"/>
        </w:numPr>
        <w:tabs>
          <w:tab w:val="left" w:pos="348"/>
        </w:tabs>
        <w:spacing w:line="237" w:lineRule="auto"/>
        <w:ind w:hanging="245"/>
        <w:jc w:val="both"/>
        <w:rPr>
          <w:sz w:val="14"/>
        </w:rPr>
      </w:pPr>
      <w:r>
        <w:rPr>
          <w:color w:val="231F20"/>
          <w:sz w:val="14"/>
        </w:rPr>
        <w:t>Giard DJ, Aaronson SA, Todaro GJ, et al. In vitro cultivation of human tumors:</w:t>
      </w:r>
      <w:r>
        <w:rPr>
          <w:color w:val="231F20"/>
          <w:spacing w:val="40"/>
          <w:sz w:val="14"/>
        </w:rPr>
        <w:t xml:space="preserve"> </w:t>
      </w:r>
      <w:r>
        <w:rPr>
          <w:color w:val="231F20"/>
          <w:sz w:val="14"/>
        </w:rPr>
        <w:t>establishment of cell lines derived from a series of solid tumors. J Natl Cancer Inst</w:t>
      </w:r>
      <w:r>
        <w:rPr>
          <w:color w:val="231F20"/>
          <w:spacing w:val="40"/>
          <w:sz w:val="14"/>
        </w:rPr>
        <w:t xml:space="preserve"> </w:t>
      </w:r>
      <w:r>
        <w:rPr>
          <w:color w:val="231F20"/>
          <w:spacing w:val="-2"/>
          <w:sz w:val="14"/>
        </w:rPr>
        <w:t>1973;51:1417–23.</w:t>
      </w:r>
    </w:p>
    <w:p w14:paraId="63B63D59" w14:textId="77777777" w:rsidR="00B322A0" w:rsidRDefault="00000000">
      <w:pPr>
        <w:pStyle w:val="Prrafodelista"/>
        <w:numPr>
          <w:ilvl w:val="0"/>
          <w:numId w:val="1"/>
        </w:numPr>
        <w:tabs>
          <w:tab w:val="left" w:pos="348"/>
        </w:tabs>
        <w:ind w:hanging="245"/>
        <w:jc w:val="both"/>
        <w:rPr>
          <w:sz w:val="14"/>
        </w:rPr>
      </w:pPr>
      <w:r>
        <w:rPr>
          <w:color w:val="231F20"/>
          <w:sz w:val="14"/>
        </w:rPr>
        <w:t>Tomizawa Y, Sekido Y, Kondo M, et al. Inhibition of lung cancer cell growth and</w:t>
      </w:r>
      <w:r>
        <w:rPr>
          <w:color w:val="231F20"/>
          <w:spacing w:val="40"/>
          <w:sz w:val="14"/>
        </w:rPr>
        <w:t xml:space="preserve"> </w:t>
      </w:r>
      <w:r>
        <w:rPr>
          <w:color w:val="231F20"/>
          <w:sz w:val="14"/>
        </w:rPr>
        <w:t>induction of apoptosis after reexpression of 3p21.3 candidate tumor suppressor gene</w:t>
      </w:r>
      <w:r>
        <w:rPr>
          <w:color w:val="231F20"/>
          <w:spacing w:val="40"/>
          <w:sz w:val="14"/>
        </w:rPr>
        <w:t xml:space="preserve"> </w:t>
      </w:r>
      <w:r>
        <w:rPr>
          <w:color w:val="231F20"/>
          <w:sz w:val="14"/>
        </w:rPr>
        <w:t>SEMA3B. Proc Natl Acad Sci USA 2001;98:13954</w:t>
      </w:r>
      <w:r>
        <w:rPr>
          <w:color w:val="231F20"/>
          <w:spacing w:val="-13"/>
          <w:sz w:val="14"/>
        </w:rPr>
        <w:t xml:space="preserve"> </w:t>
      </w:r>
      <w:r>
        <w:rPr>
          <w:color w:val="231F20"/>
          <w:sz w:val="14"/>
        </w:rPr>
        <w:t>–9.</w:t>
      </w:r>
    </w:p>
    <w:p w14:paraId="615C5B58" w14:textId="77777777" w:rsidR="00B322A0" w:rsidRDefault="00000000">
      <w:pPr>
        <w:pStyle w:val="Prrafodelista"/>
        <w:numPr>
          <w:ilvl w:val="0"/>
          <w:numId w:val="1"/>
        </w:numPr>
        <w:tabs>
          <w:tab w:val="left" w:pos="348"/>
        </w:tabs>
        <w:spacing w:line="237" w:lineRule="auto"/>
        <w:ind w:hanging="245"/>
        <w:jc w:val="both"/>
        <w:rPr>
          <w:sz w:val="14"/>
        </w:rPr>
      </w:pPr>
      <w:r>
        <w:rPr>
          <w:color w:val="231F20"/>
          <w:sz w:val="14"/>
        </w:rPr>
        <w:t>Yoshikawa H, Matsubara K, Qian GS, et al. SOCS-1, a negative regulator of the</w:t>
      </w:r>
      <w:r>
        <w:rPr>
          <w:color w:val="231F20"/>
          <w:spacing w:val="40"/>
          <w:sz w:val="14"/>
        </w:rPr>
        <w:t xml:space="preserve"> </w:t>
      </w:r>
      <w:r>
        <w:rPr>
          <w:color w:val="231F20"/>
          <w:sz w:val="14"/>
        </w:rPr>
        <w:t>JAK/STAT pathway, is silenced by methylation in human hepatocellular carcinoma</w:t>
      </w:r>
      <w:r>
        <w:rPr>
          <w:color w:val="231F20"/>
          <w:spacing w:val="40"/>
          <w:sz w:val="14"/>
        </w:rPr>
        <w:t xml:space="preserve"> </w:t>
      </w:r>
      <w:r>
        <w:rPr>
          <w:color w:val="231F20"/>
          <w:sz w:val="14"/>
        </w:rPr>
        <w:t>and shows growth-suppression activity. Nat Genet 2001;28:29</w:t>
      </w:r>
      <w:r>
        <w:rPr>
          <w:color w:val="231F20"/>
          <w:spacing w:val="-13"/>
          <w:sz w:val="14"/>
        </w:rPr>
        <w:t xml:space="preserve"> </w:t>
      </w:r>
      <w:r>
        <w:rPr>
          <w:color w:val="231F20"/>
          <w:sz w:val="14"/>
        </w:rPr>
        <w:t>–35.</w:t>
      </w:r>
    </w:p>
    <w:p w14:paraId="2F291AE8" w14:textId="77777777" w:rsidR="00B322A0" w:rsidRDefault="00000000">
      <w:pPr>
        <w:pStyle w:val="Prrafodelista"/>
        <w:numPr>
          <w:ilvl w:val="0"/>
          <w:numId w:val="1"/>
        </w:numPr>
        <w:tabs>
          <w:tab w:val="left" w:pos="348"/>
        </w:tabs>
        <w:ind w:hanging="245"/>
        <w:jc w:val="both"/>
        <w:rPr>
          <w:sz w:val="14"/>
        </w:rPr>
      </w:pPr>
      <w:r>
        <w:rPr>
          <w:color w:val="231F20"/>
          <w:sz w:val="14"/>
        </w:rPr>
        <w:t>Yamashita K, Upadhyay S, Osada M, et al. Pharmacologic unmasking of epigeneti-</w:t>
      </w:r>
      <w:r>
        <w:rPr>
          <w:color w:val="231F20"/>
          <w:spacing w:val="40"/>
          <w:sz w:val="14"/>
        </w:rPr>
        <w:t xml:space="preserve"> </w:t>
      </w:r>
      <w:r>
        <w:rPr>
          <w:color w:val="231F20"/>
          <w:sz w:val="14"/>
        </w:rPr>
        <w:t>cally silenced tumor suppressor genes in esophageal squamous cell carcinoma.</w:t>
      </w:r>
      <w:r>
        <w:rPr>
          <w:color w:val="231F20"/>
          <w:spacing w:val="40"/>
          <w:sz w:val="14"/>
        </w:rPr>
        <w:t xml:space="preserve"> </w:t>
      </w:r>
      <w:r>
        <w:rPr>
          <w:color w:val="231F20"/>
          <w:sz w:val="14"/>
        </w:rPr>
        <w:t>Cancer Cell 2002;2:485–95.</w:t>
      </w:r>
    </w:p>
    <w:p w14:paraId="56FA0B40" w14:textId="77777777" w:rsidR="00B322A0" w:rsidRDefault="00000000">
      <w:pPr>
        <w:pStyle w:val="Prrafodelista"/>
        <w:numPr>
          <w:ilvl w:val="0"/>
          <w:numId w:val="1"/>
        </w:numPr>
        <w:tabs>
          <w:tab w:val="left" w:pos="348"/>
        </w:tabs>
        <w:spacing w:line="237" w:lineRule="auto"/>
        <w:ind w:hanging="245"/>
        <w:jc w:val="both"/>
        <w:rPr>
          <w:sz w:val="14"/>
        </w:rPr>
      </w:pPr>
      <w:r>
        <w:rPr>
          <w:color w:val="231F20"/>
          <w:sz w:val="14"/>
        </w:rPr>
        <w:t>Gaudet F, Hodgson JG, Eden A, et al. Induction of tumors in mice by genomic</w:t>
      </w:r>
      <w:r>
        <w:rPr>
          <w:color w:val="231F20"/>
          <w:spacing w:val="40"/>
          <w:sz w:val="14"/>
        </w:rPr>
        <w:t xml:space="preserve"> </w:t>
      </w:r>
      <w:r>
        <w:rPr>
          <w:color w:val="231F20"/>
          <w:sz w:val="14"/>
        </w:rPr>
        <w:t>hypomethylation. Science 2003;300:489</w:t>
      </w:r>
      <w:r>
        <w:rPr>
          <w:color w:val="231F20"/>
          <w:spacing w:val="-8"/>
          <w:sz w:val="14"/>
        </w:rPr>
        <w:t xml:space="preserve"> </w:t>
      </w:r>
      <w:r>
        <w:rPr>
          <w:color w:val="231F20"/>
          <w:sz w:val="14"/>
        </w:rPr>
        <w:t>–92.</w:t>
      </w:r>
    </w:p>
    <w:p w14:paraId="518E6F57" w14:textId="77777777" w:rsidR="00B322A0" w:rsidRDefault="00000000">
      <w:pPr>
        <w:pStyle w:val="Prrafodelista"/>
        <w:numPr>
          <w:ilvl w:val="0"/>
          <w:numId w:val="1"/>
        </w:numPr>
        <w:tabs>
          <w:tab w:val="left" w:pos="348"/>
        </w:tabs>
        <w:ind w:right="115" w:hanging="245"/>
        <w:jc w:val="both"/>
        <w:rPr>
          <w:sz w:val="14"/>
        </w:rPr>
      </w:pPr>
      <w:r>
        <w:rPr>
          <w:color w:val="231F20"/>
          <w:sz w:val="14"/>
        </w:rPr>
        <w:t>Takeichi M. Cadherin cell adhesion receptors as a morphogenetic regulator. Science</w:t>
      </w:r>
      <w:r>
        <w:rPr>
          <w:color w:val="231F20"/>
          <w:spacing w:val="40"/>
          <w:sz w:val="14"/>
        </w:rPr>
        <w:t xml:space="preserve"> </w:t>
      </w:r>
      <w:r>
        <w:rPr>
          <w:color w:val="231F20"/>
          <w:spacing w:val="-2"/>
          <w:sz w:val="14"/>
        </w:rPr>
        <w:t>1991;251:1451–5.</w:t>
      </w:r>
    </w:p>
    <w:p w14:paraId="60523552" w14:textId="77777777" w:rsidR="00B322A0" w:rsidRDefault="00000000">
      <w:pPr>
        <w:pStyle w:val="Prrafodelista"/>
        <w:numPr>
          <w:ilvl w:val="0"/>
          <w:numId w:val="1"/>
        </w:numPr>
        <w:tabs>
          <w:tab w:val="left" w:pos="348"/>
        </w:tabs>
        <w:spacing w:line="232" w:lineRule="auto"/>
        <w:ind w:hanging="245"/>
        <w:jc w:val="both"/>
        <w:rPr>
          <w:sz w:val="14"/>
        </w:rPr>
      </w:pPr>
      <w:r>
        <w:rPr>
          <w:color w:val="231F20"/>
          <w:sz w:val="14"/>
        </w:rPr>
        <w:t>Graff JR, Gabrielson E, Fujii H, Baylin SB, Herman JG. Methylation patterns of the</w:t>
      </w:r>
      <w:r>
        <w:rPr>
          <w:color w:val="231F20"/>
          <w:spacing w:val="40"/>
          <w:sz w:val="14"/>
        </w:rPr>
        <w:t xml:space="preserve"> </w:t>
      </w:r>
      <w:r>
        <w:rPr>
          <w:color w:val="231F20"/>
          <w:sz w:val="14"/>
        </w:rPr>
        <w:t>E-cadherin 5</w:t>
      </w:r>
      <w:r>
        <w:rPr>
          <w:rFonts w:ascii="Verdana" w:hAnsi="Verdana"/>
          <w:color w:val="231F20"/>
          <w:sz w:val="14"/>
        </w:rPr>
        <w:t>'</w:t>
      </w:r>
      <w:r>
        <w:rPr>
          <w:rFonts w:ascii="Verdana" w:hAnsi="Verdana"/>
          <w:color w:val="231F20"/>
          <w:spacing w:val="-2"/>
          <w:sz w:val="14"/>
        </w:rPr>
        <w:t xml:space="preserve"> </w:t>
      </w:r>
      <w:r>
        <w:rPr>
          <w:color w:val="231F20"/>
          <w:sz w:val="14"/>
        </w:rPr>
        <w:t>CpG island are unstable and reflect the dynamic, heterogeneous loss</w:t>
      </w:r>
      <w:r>
        <w:rPr>
          <w:color w:val="231F20"/>
          <w:spacing w:val="80"/>
          <w:sz w:val="14"/>
        </w:rPr>
        <w:t xml:space="preserve"> </w:t>
      </w:r>
      <w:r>
        <w:rPr>
          <w:color w:val="231F20"/>
          <w:sz w:val="14"/>
        </w:rPr>
        <w:t>of E-cadherin expression during metastatic progression. J Biol Chem 2000;275:</w:t>
      </w:r>
      <w:r>
        <w:rPr>
          <w:color w:val="231F20"/>
          <w:spacing w:val="40"/>
          <w:sz w:val="14"/>
        </w:rPr>
        <w:t xml:space="preserve"> </w:t>
      </w:r>
      <w:r>
        <w:rPr>
          <w:color w:val="231F20"/>
          <w:spacing w:val="-2"/>
          <w:sz w:val="14"/>
        </w:rPr>
        <w:t>2727–32.</w:t>
      </w:r>
    </w:p>
    <w:p w14:paraId="4CD46706" w14:textId="77777777" w:rsidR="00B322A0" w:rsidRDefault="00000000">
      <w:pPr>
        <w:pStyle w:val="Prrafodelista"/>
        <w:numPr>
          <w:ilvl w:val="0"/>
          <w:numId w:val="1"/>
        </w:numPr>
        <w:tabs>
          <w:tab w:val="left" w:pos="348"/>
        </w:tabs>
        <w:ind w:hanging="245"/>
        <w:jc w:val="both"/>
        <w:rPr>
          <w:sz w:val="14"/>
        </w:rPr>
      </w:pPr>
      <w:r>
        <w:rPr>
          <w:color w:val="231F20"/>
          <w:sz w:val="14"/>
        </w:rPr>
        <w:t>Navarro P, Gomez M, Pizarro A, Gamallo C, Quintanilla M, Cano A. A role for the</w:t>
      </w:r>
      <w:r>
        <w:rPr>
          <w:color w:val="231F20"/>
          <w:spacing w:val="40"/>
          <w:sz w:val="14"/>
        </w:rPr>
        <w:t xml:space="preserve"> </w:t>
      </w:r>
      <w:r>
        <w:rPr>
          <w:color w:val="231F20"/>
          <w:sz w:val="14"/>
        </w:rPr>
        <w:t>E-cadherin</w:t>
      </w:r>
      <w:r>
        <w:rPr>
          <w:color w:val="231F20"/>
          <w:spacing w:val="-4"/>
          <w:sz w:val="14"/>
        </w:rPr>
        <w:t xml:space="preserve"> </w:t>
      </w:r>
      <w:r>
        <w:rPr>
          <w:color w:val="231F20"/>
          <w:sz w:val="14"/>
        </w:rPr>
        <w:t>cell-cell</w:t>
      </w:r>
      <w:r>
        <w:rPr>
          <w:color w:val="231F20"/>
          <w:spacing w:val="-4"/>
          <w:sz w:val="14"/>
        </w:rPr>
        <w:t xml:space="preserve"> </w:t>
      </w:r>
      <w:r>
        <w:rPr>
          <w:color w:val="231F20"/>
          <w:sz w:val="14"/>
        </w:rPr>
        <w:t>adhesion</w:t>
      </w:r>
      <w:r>
        <w:rPr>
          <w:color w:val="231F20"/>
          <w:spacing w:val="-4"/>
          <w:sz w:val="14"/>
        </w:rPr>
        <w:t xml:space="preserve"> </w:t>
      </w:r>
      <w:r>
        <w:rPr>
          <w:color w:val="231F20"/>
          <w:sz w:val="14"/>
        </w:rPr>
        <w:t>molecule</w:t>
      </w:r>
      <w:r>
        <w:rPr>
          <w:color w:val="231F20"/>
          <w:spacing w:val="-4"/>
          <w:sz w:val="14"/>
        </w:rPr>
        <w:t xml:space="preserve"> </w:t>
      </w:r>
      <w:r>
        <w:rPr>
          <w:color w:val="231F20"/>
          <w:sz w:val="14"/>
        </w:rPr>
        <w:t>during</w:t>
      </w:r>
      <w:r>
        <w:rPr>
          <w:color w:val="231F20"/>
          <w:spacing w:val="-4"/>
          <w:sz w:val="14"/>
        </w:rPr>
        <w:t xml:space="preserve"> </w:t>
      </w:r>
      <w:r>
        <w:rPr>
          <w:color w:val="231F20"/>
          <w:sz w:val="14"/>
        </w:rPr>
        <w:t>tumor</w:t>
      </w:r>
      <w:r>
        <w:rPr>
          <w:color w:val="231F20"/>
          <w:spacing w:val="-4"/>
          <w:sz w:val="14"/>
        </w:rPr>
        <w:t xml:space="preserve"> </w:t>
      </w:r>
      <w:r>
        <w:rPr>
          <w:color w:val="231F20"/>
          <w:sz w:val="14"/>
        </w:rPr>
        <w:t>progression</w:t>
      </w:r>
      <w:r>
        <w:rPr>
          <w:color w:val="231F20"/>
          <w:spacing w:val="-4"/>
          <w:sz w:val="14"/>
        </w:rPr>
        <w:t xml:space="preserve"> </w:t>
      </w:r>
      <w:r>
        <w:rPr>
          <w:color w:val="231F20"/>
          <w:sz w:val="14"/>
        </w:rPr>
        <w:t>of</w:t>
      </w:r>
      <w:r>
        <w:rPr>
          <w:color w:val="231F20"/>
          <w:spacing w:val="-4"/>
          <w:sz w:val="14"/>
        </w:rPr>
        <w:t xml:space="preserve"> </w:t>
      </w:r>
      <w:r>
        <w:rPr>
          <w:color w:val="231F20"/>
          <w:sz w:val="14"/>
        </w:rPr>
        <w:t>mouse</w:t>
      </w:r>
      <w:r>
        <w:rPr>
          <w:color w:val="231F20"/>
          <w:spacing w:val="-4"/>
          <w:sz w:val="14"/>
        </w:rPr>
        <w:t xml:space="preserve"> </w:t>
      </w:r>
      <w:r>
        <w:rPr>
          <w:color w:val="231F20"/>
          <w:sz w:val="14"/>
        </w:rPr>
        <w:t>epidermal</w:t>
      </w:r>
      <w:r>
        <w:rPr>
          <w:color w:val="231F20"/>
          <w:spacing w:val="40"/>
          <w:sz w:val="14"/>
        </w:rPr>
        <w:t xml:space="preserve"> </w:t>
      </w:r>
      <w:r>
        <w:rPr>
          <w:color w:val="231F20"/>
          <w:sz w:val="14"/>
        </w:rPr>
        <w:t>carcinogenesis. J Cell Biol 1991;115:517–33.</w:t>
      </w:r>
    </w:p>
    <w:p w14:paraId="0B814206" w14:textId="77777777" w:rsidR="00B322A0" w:rsidRDefault="00000000">
      <w:pPr>
        <w:pStyle w:val="Prrafodelista"/>
        <w:numPr>
          <w:ilvl w:val="0"/>
          <w:numId w:val="1"/>
        </w:numPr>
        <w:tabs>
          <w:tab w:val="left" w:pos="348"/>
        </w:tabs>
        <w:spacing w:line="237" w:lineRule="auto"/>
        <w:ind w:hanging="245"/>
        <w:jc w:val="both"/>
        <w:rPr>
          <w:sz w:val="14"/>
        </w:rPr>
      </w:pPr>
      <w:r>
        <w:rPr>
          <w:color w:val="231F20"/>
          <w:sz w:val="14"/>
        </w:rPr>
        <w:t>Peinado H, Ballestar E, Esteller M, Cano A. The transcription factor Snail mediates</w:t>
      </w:r>
      <w:r>
        <w:rPr>
          <w:color w:val="231F20"/>
          <w:spacing w:val="40"/>
          <w:sz w:val="14"/>
        </w:rPr>
        <w:t xml:space="preserve"> </w:t>
      </w:r>
      <w:r>
        <w:rPr>
          <w:color w:val="231F20"/>
          <w:sz w:val="14"/>
        </w:rPr>
        <w:t>E-cadherin repression by the recruitment of the Sin3A/Histone Deacetylase 1/2</w:t>
      </w:r>
      <w:r>
        <w:rPr>
          <w:color w:val="231F20"/>
          <w:spacing w:val="40"/>
          <w:sz w:val="14"/>
        </w:rPr>
        <w:t xml:space="preserve"> </w:t>
      </w:r>
      <w:r>
        <w:rPr>
          <w:color w:val="231F20"/>
          <w:sz w:val="14"/>
        </w:rPr>
        <w:t>complex. Mol Cell Biol 2004;24:306</w:t>
      </w:r>
      <w:r>
        <w:rPr>
          <w:color w:val="231F20"/>
          <w:spacing w:val="-8"/>
          <w:sz w:val="14"/>
        </w:rPr>
        <w:t xml:space="preserve"> </w:t>
      </w:r>
      <w:r>
        <w:rPr>
          <w:color w:val="231F20"/>
          <w:sz w:val="14"/>
        </w:rPr>
        <w:t>–19.</w:t>
      </w:r>
    </w:p>
    <w:sectPr w:rsidR="00B322A0">
      <w:type w:val="continuous"/>
      <w:pgSz w:w="11700" w:h="15660"/>
      <w:pgMar w:top="420" w:right="560" w:bottom="920" w:left="600" w:header="428" w:footer="719" w:gutter="0"/>
      <w:cols w:num="2" w:space="720" w:equalWidth="0">
        <w:col w:w="5185" w:space="95"/>
        <w:col w:w="52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76191" w14:textId="77777777" w:rsidR="00BA4BCE" w:rsidRDefault="00BA4BCE">
      <w:r>
        <w:separator/>
      </w:r>
    </w:p>
  </w:endnote>
  <w:endnote w:type="continuationSeparator" w:id="0">
    <w:p w14:paraId="5B760A4D" w14:textId="77777777" w:rsidR="00BA4BCE" w:rsidRDefault="00BA4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Verdana">
    <w:panose1 w:val="020B0604030504040204"/>
    <w:charset w:val="00"/>
    <w:family w:val="swiss"/>
    <w:pitch w:val="variable"/>
    <w:sig w:usb0="A00006FF" w:usb1="4000205B" w:usb2="00000010" w:usb3="00000000" w:csb0="0000019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9F3FD9" w14:textId="77777777" w:rsidR="00B322A0" w:rsidRDefault="00000000">
    <w:pPr>
      <w:pStyle w:val="Textoindependiente"/>
      <w:spacing w:line="14" w:lineRule="auto"/>
      <w:ind w:left="0"/>
      <w:rPr>
        <w:sz w:val="20"/>
      </w:rPr>
    </w:pPr>
    <w:r>
      <w:rPr>
        <w:noProof/>
      </w:rPr>
      <mc:AlternateContent>
        <mc:Choice Requires="wps">
          <w:drawing>
            <wp:anchor distT="0" distB="0" distL="0" distR="0" simplePos="0" relativeHeight="487230464" behindDoc="1" locked="0" layoutInCell="1" allowOverlap="1" wp14:anchorId="15430C5C" wp14:editId="483DD347">
              <wp:simplePos x="0" y="0"/>
              <wp:positionH relativeFrom="page">
                <wp:posOffset>3583492</wp:posOffset>
              </wp:positionH>
              <wp:positionV relativeFrom="page">
                <wp:posOffset>9334342</wp:posOffset>
              </wp:positionV>
              <wp:extent cx="292100" cy="13843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 cy="138430"/>
                      </a:xfrm>
                      <a:prstGeom prst="rect">
                        <a:avLst/>
                      </a:prstGeom>
                    </wps:spPr>
                    <wps:txbx>
                      <w:txbxContent>
                        <w:p w14:paraId="15413292" w14:textId="77777777" w:rsidR="00B322A0" w:rsidRDefault="00000000">
                          <w:pPr>
                            <w:spacing w:before="13"/>
                            <w:ind w:left="60"/>
                            <w:rPr>
                              <w:sz w:val="16"/>
                            </w:rPr>
                          </w:pPr>
                          <w:r>
                            <w:rPr>
                              <w:color w:val="231F20"/>
                              <w:spacing w:val="-4"/>
                              <w:sz w:val="16"/>
                            </w:rPr>
                            <w:fldChar w:fldCharType="begin"/>
                          </w:r>
                          <w:r>
                            <w:rPr>
                              <w:color w:val="231F20"/>
                              <w:spacing w:val="-4"/>
                              <w:sz w:val="16"/>
                            </w:rPr>
                            <w:instrText xml:space="preserve"> PAGE </w:instrText>
                          </w:r>
                          <w:r>
                            <w:rPr>
                              <w:color w:val="231F20"/>
                              <w:spacing w:val="-4"/>
                              <w:sz w:val="16"/>
                            </w:rPr>
                            <w:fldChar w:fldCharType="separate"/>
                          </w:r>
                          <w:r>
                            <w:rPr>
                              <w:color w:val="231F20"/>
                              <w:spacing w:val="-4"/>
                              <w:sz w:val="16"/>
                            </w:rPr>
                            <w:t>5527</w:t>
                          </w:r>
                          <w:r>
                            <w:rPr>
                              <w:color w:val="231F20"/>
                              <w:spacing w:val="-4"/>
                              <w:sz w:val="16"/>
                            </w:rPr>
                            <w:fldChar w:fldCharType="end"/>
                          </w:r>
                        </w:p>
                      </w:txbxContent>
                    </wps:txbx>
                    <wps:bodyPr wrap="square" lIns="0" tIns="0" rIns="0" bIns="0" rtlCol="0">
                      <a:noAutofit/>
                    </wps:bodyPr>
                  </wps:wsp>
                </a:graphicData>
              </a:graphic>
            </wp:anchor>
          </w:drawing>
        </mc:Choice>
        <mc:Fallback>
          <w:pict>
            <v:shapetype w14:anchorId="15430C5C" id="_x0000_t202" coordsize="21600,21600" o:spt="202" path="m,l,21600r21600,l21600,xe">
              <v:stroke joinstyle="miter"/>
              <v:path gradientshapeok="t" o:connecttype="rect"/>
            </v:shapetype>
            <v:shape id="Textbox 1" o:spid="_x0000_s1034" type="#_x0000_t202" style="position:absolute;margin-left:282.15pt;margin-top:735pt;width:23pt;height:10.9pt;z-index:-16086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" filled="f" stroked="f">
              <v:textbox inset="0,0,0,0">
                <w:txbxContent>
                  <w:p w14:paraId="15413292" w14:textId="77777777" w:rsidR="00B322A0" w:rsidRDefault="00000000">
                    <w:pPr>
                      <w:spacing w:before="13"/>
                      <w:ind w:left="60"/>
                      <w:rPr>
                        <w:sz w:val="16"/>
                      </w:rPr>
                    </w:pPr>
                    <w:r>
                      <w:rPr>
                        <w:color w:val="231F20"/>
                        <w:spacing w:val="-4"/>
                        <w:sz w:val="16"/>
                      </w:rPr>
                      <w:fldChar w:fldCharType="begin"/>
                    </w:r>
                    <w:r>
                      <w:rPr>
                        <w:color w:val="231F20"/>
                        <w:spacing w:val="-4"/>
                        <w:sz w:val="16"/>
                      </w:rPr>
                      <w:instrText xml:space="preserve"> PAGE </w:instrText>
                    </w:r>
                    <w:r>
                      <w:rPr>
                        <w:color w:val="231F20"/>
                        <w:spacing w:val="-4"/>
                        <w:sz w:val="16"/>
                      </w:rPr>
                      <w:fldChar w:fldCharType="separate"/>
                    </w:r>
                    <w:r>
                      <w:rPr>
                        <w:color w:val="231F20"/>
                        <w:spacing w:val="-4"/>
                        <w:sz w:val="16"/>
                      </w:rPr>
                      <w:t>5527</w:t>
                    </w:r>
                    <w:r>
                      <w:rPr>
                        <w:color w:val="231F20"/>
                        <w:spacing w:val="-4"/>
                        <w:sz w:val="16"/>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9727C" w14:textId="77777777" w:rsidR="00B322A0" w:rsidRDefault="00000000">
    <w:pPr>
      <w:pStyle w:val="Textoindependiente"/>
      <w:spacing w:line="14" w:lineRule="auto"/>
      <w:ind w:left="0"/>
      <w:rPr>
        <w:sz w:val="20"/>
      </w:rPr>
    </w:pPr>
    <w:r>
      <w:rPr>
        <w:noProof/>
      </w:rPr>
      <mc:AlternateContent>
        <mc:Choice Requires="wps">
          <w:drawing>
            <wp:anchor distT="0" distB="0" distL="0" distR="0" simplePos="0" relativeHeight="487231488" behindDoc="1" locked="0" layoutInCell="1" allowOverlap="1" wp14:anchorId="270CA8E3" wp14:editId="2BB7D3CC">
              <wp:simplePos x="0" y="0"/>
              <wp:positionH relativeFrom="page">
                <wp:posOffset>3583492</wp:posOffset>
              </wp:positionH>
              <wp:positionV relativeFrom="page">
                <wp:posOffset>9334342</wp:posOffset>
              </wp:positionV>
              <wp:extent cx="292100" cy="13843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 cy="138430"/>
                      </a:xfrm>
                      <a:prstGeom prst="rect">
                        <a:avLst/>
                      </a:prstGeom>
                    </wps:spPr>
                    <wps:txbx>
                      <w:txbxContent>
                        <w:p w14:paraId="27A5ECA4" w14:textId="77777777" w:rsidR="00B322A0" w:rsidRDefault="00000000">
                          <w:pPr>
                            <w:spacing w:before="13"/>
                            <w:ind w:left="60"/>
                            <w:rPr>
                              <w:sz w:val="16"/>
                            </w:rPr>
                          </w:pPr>
                          <w:r>
                            <w:rPr>
                              <w:color w:val="231F20"/>
                              <w:spacing w:val="-4"/>
                              <w:sz w:val="16"/>
                            </w:rPr>
                            <w:fldChar w:fldCharType="begin"/>
                          </w:r>
                          <w:r>
                            <w:rPr>
                              <w:color w:val="231F20"/>
                              <w:spacing w:val="-4"/>
                              <w:sz w:val="16"/>
                            </w:rPr>
                            <w:instrText xml:space="preserve"> PAGE </w:instrText>
                          </w:r>
                          <w:r>
                            <w:rPr>
                              <w:color w:val="231F20"/>
                              <w:spacing w:val="-4"/>
                              <w:sz w:val="16"/>
                            </w:rPr>
                            <w:fldChar w:fldCharType="separate"/>
                          </w:r>
                          <w:r>
                            <w:rPr>
                              <w:color w:val="231F20"/>
                              <w:spacing w:val="-4"/>
                              <w:sz w:val="16"/>
                            </w:rPr>
                            <w:t>5528</w:t>
                          </w:r>
                          <w:r>
                            <w:rPr>
                              <w:color w:val="231F20"/>
                              <w:spacing w:val="-4"/>
                              <w:sz w:val="16"/>
                            </w:rPr>
                            <w:fldChar w:fldCharType="end"/>
                          </w:r>
                        </w:p>
                      </w:txbxContent>
                    </wps:txbx>
                    <wps:bodyPr wrap="square" lIns="0" tIns="0" rIns="0" bIns="0" rtlCol="0">
                      <a:noAutofit/>
                    </wps:bodyPr>
                  </wps:wsp>
                </a:graphicData>
              </a:graphic>
            </wp:anchor>
          </w:drawing>
        </mc:Choice>
        <mc:Fallback>
          <w:pict>
            <v:shapetype w14:anchorId="270CA8E3" id="_x0000_t202" coordsize="21600,21600" o:spt="202" path="m,l,21600r21600,l21600,xe">
              <v:stroke joinstyle="miter"/>
              <v:path gradientshapeok="t" o:connecttype="rect"/>
            </v:shapetype>
            <v:shape id="Textbox 5" o:spid="_x0000_s1036" type="#_x0000_t202" style="position:absolute;margin-left:282.15pt;margin-top:735pt;width:23pt;height:10.9pt;z-index:-1608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" filled="f" stroked="f">
              <v:textbox inset="0,0,0,0">
                <w:txbxContent>
                  <w:p w14:paraId="27A5ECA4" w14:textId="77777777" w:rsidR="00B322A0" w:rsidRDefault="00000000">
                    <w:pPr>
                      <w:spacing w:before="13"/>
                      <w:ind w:left="60"/>
                      <w:rPr>
                        <w:sz w:val="16"/>
                      </w:rPr>
                    </w:pPr>
                    <w:r>
                      <w:rPr>
                        <w:color w:val="231F20"/>
                        <w:spacing w:val="-4"/>
                        <w:sz w:val="16"/>
                      </w:rPr>
                      <w:fldChar w:fldCharType="begin"/>
                    </w:r>
                    <w:r>
                      <w:rPr>
                        <w:color w:val="231F20"/>
                        <w:spacing w:val="-4"/>
                        <w:sz w:val="16"/>
                      </w:rPr>
                      <w:instrText xml:space="preserve"> PAGE </w:instrText>
                    </w:r>
                    <w:r>
                      <w:rPr>
                        <w:color w:val="231F20"/>
                        <w:spacing w:val="-4"/>
                        <w:sz w:val="16"/>
                      </w:rPr>
                      <w:fldChar w:fldCharType="separate"/>
                    </w:r>
                    <w:r>
                      <w:rPr>
                        <w:color w:val="231F20"/>
                        <w:spacing w:val="-4"/>
                        <w:sz w:val="16"/>
                      </w:rPr>
                      <w:t>5528</w:t>
                    </w:r>
                    <w:r>
                      <w:rPr>
                        <w:color w:val="231F20"/>
                        <w:spacing w:val="-4"/>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5788E" w14:textId="77777777" w:rsidR="00BA4BCE" w:rsidRDefault="00BA4BCE">
      <w:r>
        <w:separator/>
      </w:r>
    </w:p>
  </w:footnote>
  <w:footnote w:type="continuationSeparator" w:id="0">
    <w:p w14:paraId="26745E66" w14:textId="77777777" w:rsidR="00BA4BCE" w:rsidRDefault="00BA4B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3D4B7" w14:textId="77777777" w:rsidR="00B322A0" w:rsidRDefault="00000000">
    <w:pPr>
      <w:pStyle w:val="Textoindependiente"/>
      <w:spacing w:line="14" w:lineRule="auto"/>
      <w:ind w:left="0"/>
      <w:rPr>
        <w:sz w:val="20"/>
      </w:rPr>
    </w:pPr>
    <w:r>
      <w:rPr>
        <w:noProof/>
      </w:rPr>
      <mc:AlternateContent>
        <mc:Choice Requires="wps">
          <w:drawing>
            <wp:anchor distT="0" distB="0" distL="0" distR="0" simplePos="0" relativeHeight="487230976" behindDoc="1" locked="0" layoutInCell="1" allowOverlap="1" wp14:anchorId="06DF2AEE" wp14:editId="3A7EA1A9">
              <wp:simplePos x="0" y="0"/>
              <wp:positionH relativeFrom="page">
                <wp:posOffset>3120266</wp:posOffset>
              </wp:positionH>
              <wp:positionV relativeFrom="page">
                <wp:posOffset>301876</wp:posOffset>
              </wp:positionV>
              <wp:extent cx="1206500" cy="1098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06500" cy="109855"/>
                      </a:xfrm>
                      <a:prstGeom prst="rect">
                        <a:avLst/>
                      </a:prstGeom>
                    </wps:spPr>
                    <wps:txbx>
                      <w:txbxContent>
                        <w:p w14:paraId="3A5DAD22" w14:textId="77777777" w:rsidR="00B322A0" w:rsidRDefault="00000000">
                          <w:pPr>
                            <w:spacing w:before="15"/>
                            <w:ind w:left="20"/>
                            <w:rPr>
                              <w:sz w:val="12"/>
                            </w:rPr>
                          </w:pPr>
                          <w:r>
                            <w:rPr>
                              <w:color w:val="231F20"/>
                              <w:sz w:val="12"/>
                            </w:rPr>
                            <w:t>EPIGENETICS</w:t>
                          </w:r>
                          <w:r>
                            <w:rPr>
                              <w:color w:val="231F20"/>
                              <w:spacing w:val="29"/>
                              <w:sz w:val="12"/>
                            </w:rPr>
                            <w:t xml:space="preserve"> </w:t>
                          </w:r>
                          <w:r>
                            <w:rPr>
                              <w:color w:val="231F20"/>
                              <w:sz w:val="12"/>
                            </w:rPr>
                            <w:t>OF</w:t>
                          </w:r>
                          <w:r>
                            <w:rPr>
                              <w:color w:val="231F20"/>
                              <w:spacing w:val="29"/>
                              <w:sz w:val="12"/>
                            </w:rPr>
                            <w:t xml:space="preserve"> </w:t>
                          </w:r>
                          <w:r>
                            <w:rPr>
                              <w:color w:val="231F20"/>
                              <w:sz w:val="12"/>
                            </w:rPr>
                            <w:t>SKIN</w:t>
                          </w:r>
                          <w:r>
                            <w:rPr>
                              <w:color w:val="231F20"/>
                              <w:spacing w:val="29"/>
                              <w:sz w:val="12"/>
                            </w:rPr>
                            <w:t xml:space="preserve"> </w:t>
                          </w:r>
                          <w:r>
                            <w:rPr>
                              <w:color w:val="231F20"/>
                              <w:spacing w:val="-2"/>
                              <w:sz w:val="12"/>
                            </w:rPr>
                            <w:t>CANCER</w:t>
                          </w:r>
                        </w:p>
                      </w:txbxContent>
                    </wps:txbx>
                    <wps:bodyPr wrap="square" lIns="0" tIns="0" rIns="0" bIns="0" rtlCol="0">
                      <a:noAutofit/>
                    </wps:bodyPr>
                  </wps:wsp>
                </a:graphicData>
              </a:graphic>
            </wp:anchor>
          </w:drawing>
        </mc:Choice>
        <mc:Fallback>
          <w:pict>
            <v:shapetype w14:anchorId="06DF2AEE" id="_x0000_t202" coordsize="21600,21600" o:spt="202" path="m,l,21600r21600,l21600,xe">
              <v:stroke joinstyle="miter"/>
              <v:path gradientshapeok="t" o:connecttype="rect"/>
            </v:shapetype>
            <v:shape id="Textbox 4" o:spid="_x0000_s1035" type="#_x0000_t202" style="position:absolute;margin-left:245.7pt;margin-top:23.75pt;width:95pt;height:8.65pt;z-index:-16085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" filled="f" stroked="f">
              <v:textbox inset="0,0,0,0">
                <w:txbxContent>
                  <w:p w14:paraId="3A5DAD22" w14:textId="77777777" w:rsidR="00B322A0" w:rsidRDefault="00000000">
                    <w:pPr>
                      <w:spacing w:before="15"/>
                      <w:ind w:left="20"/>
                      <w:rPr>
                        <w:sz w:val="12"/>
                      </w:rPr>
                    </w:pPr>
                    <w:r>
                      <w:rPr>
                        <w:color w:val="231F20"/>
                        <w:sz w:val="12"/>
                      </w:rPr>
                      <w:t>EPIGENETICS</w:t>
                    </w:r>
                    <w:r>
                      <w:rPr>
                        <w:color w:val="231F20"/>
                        <w:spacing w:val="29"/>
                        <w:sz w:val="12"/>
                      </w:rPr>
                      <w:t xml:space="preserve"> </w:t>
                    </w:r>
                    <w:r>
                      <w:rPr>
                        <w:color w:val="231F20"/>
                        <w:sz w:val="12"/>
                      </w:rPr>
                      <w:t>OF</w:t>
                    </w:r>
                    <w:r>
                      <w:rPr>
                        <w:color w:val="231F20"/>
                        <w:spacing w:val="29"/>
                        <w:sz w:val="12"/>
                      </w:rPr>
                      <w:t xml:space="preserve"> </w:t>
                    </w:r>
                    <w:r>
                      <w:rPr>
                        <w:color w:val="231F20"/>
                        <w:sz w:val="12"/>
                      </w:rPr>
                      <w:t>SKIN</w:t>
                    </w:r>
                    <w:r>
                      <w:rPr>
                        <w:color w:val="231F20"/>
                        <w:spacing w:val="29"/>
                        <w:sz w:val="12"/>
                      </w:rPr>
                      <w:t xml:space="preserve"> </w:t>
                    </w:r>
                    <w:r>
                      <w:rPr>
                        <w:color w:val="231F20"/>
                        <w:spacing w:val="-2"/>
                        <w:sz w:val="12"/>
                      </w:rPr>
                      <w:t>CANCER</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9F6742"/>
    <w:multiLevelType w:val="hybridMultilevel"/>
    <w:tmpl w:val="3938AA0C"/>
    <w:lvl w:ilvl="0" w:tplc="0A6064F8">
      <w:start w:val="1"/>
      <w:numFmt w:val="decimal"/>
      <w:lvlText w:val="%1."/>
      <w:lvlJc w:val="left"/>
      <w:pPr>
        <w:ind w:left="348" w:hanging="175"/>
        <w:jc w:val="right"/>
      </w:pPr>
      <w:rPr>
        <w:rFonts w:ascii="Times New Roman" w:eastAsia="Times New Roman" w:hAnsi="Times New Roman" w:cs="Times New Roman" w:hint="default"/>
        <w:b w:val="0"/>
        <w:bCs w:val="0"/>
        <w:i w:val="0"/>
        <w:iCs w:val="0"/>
        <w:color w:val="231F20"/>
        <w:spacing w:val="0"/>
        <w:w w:val="100"/>
        <w:sz w:val="14"/>
        <w:szCs w:val="14"/>
        <w:lang w:val="en-US" w:eastAsia="en-US" w:bidi="ar-SA"/>
      </w:rPr>
    </w:lvl>
    <w:lvl w:ilvl="1" w:tplc="ECA8A4D4">
      <w:numFmt w:val="bullet"/>
      <w:lvlText w:val="•"/>
      <w:lvlJc w:val="left"/>
      <w:pPr>
        <w:ind w:left="832" w:hanging="175"/>
      </w:pPr>
      <w:rPr>
        <w:rFonts w:hint="default"/>
        <w:lang w:val="en-US" w:eastAsia="en-US" w:bidi="ar-SA"/>
      </w:rPr>
    </w:lvl>
    <w:lvl w:ilvl="2" w:tplc="08E0C5CC">
      <w:numFmt w:val="bullet"/>
      <w:lvlText w:val="•"/>
      <w:lvlJc w:val="left"/>
      <w:pPr>
        <w:ind w:left="1324" w:hanging="175"/>
      </w:pPr>
      <w:rPr>
        <w:rFonts w:hint="default"/>
        <w:lang w:val="en-US" w:eastAsia="en-US" w:bidi="ar-SA"/>
      </w:rPr>
    </w:lvl>
    <w:lvl w:ilvl="3" w:tplc="A3E87592">
      <w:numFmt w:val="bullet"/>
      <w:lvlText w:val="•"/>
      <w:lvlJc w:val="left"/>
      <w:pPr>
        <w:ind w:left="1816" w:hanging="175"/>
      </w:pPr>
      <w:rPr>
        <w:rFonts w:hint="default"/>
        <w:lang w:val="en-US" w:eastAsia="en-US" w:bidi="ar-SA"/>
      </w:rPr>
    </w:lvl>
    <w:lvl w:ilvl="4" w:tplc="EB941912">
      <w:numFmt w:val="bullet"/>
      <w:lvlText w:val="•"/>
      <w:lvlJc w:val="left"/>
      <w:pPr>
        <w:ind w:left="2308" w:hanging="175"/>
      </w:pPr>
      <w:rPr>
        <w:rFonts w:hint="default"/>
        <w:lang w:val="en-US" w:eastAsia="en-US" w:bidi="ar-SA"/>
      </w:rPr>
    </w:lvl>
    <w:lvl w:ilvl="5" w:tplc="4DB46640">
      <w:numFmt w:val="bullet"/>
      <w:lvlText w:val="•"/>
      <w:lvlJc w:val="left"/>
      <w:pPr>
        <w:ind w:left="2800" w:hanging="175"/>
      </w:pPr>
      <w:rPr>
        <w:rFonts w:hint="default"/>
        <w:lang w:val="en-US" w:eastAsia="en-US" w:bidi="ar-SA"/>
      </w:rPr>
    </w:lvl>
    <w:lvl w:ilvl="6" w:tplc="12DCDE14">
      <w:numFmt w:val="bullet"/>
      <w:lvlText w:val="•"/>
      <w:lvlJc w:val="left"/>
      <w:pPr>
        <w:ind w:left="3292" w:hanging="175"/>
      </w:pPr>
      <w:rPr>
        <w:rFonts w:hint="default"/>
        <w:lang w:val="en-US" w:eastAsia="en-US" w:bidi="ar-SA"/>
      </w:rPr>
    </w:lvl>
    <w:lvl w:ilvl="7" w:tplc="6638F84E">
      <w:numFmt w:val="bullet"/>
      <w:lvlText w:val="•"/>
      <w:lvlJc w:val="left"/>
      <w:pPr>
        <w:ind w:left="3784" w:hanging="175"/>
      </w:pPr>
      <w:rPr>
        <w:rFonts w:hint="default"/>
        <w:lang w:val="en-US" w:eastAsia="en-US" w:bidi="ar-SA"/>
      </w:rPr>
    </w:lvl>
    <w:lvl w:ilvl="8" w:tplc="80FE1710">
      <w:numFmt w:val="bullet"/>
      <w:lvlText w:val="•"/>
      <w:lvlJc w:val="left"/>
      <w:pPr>
        <w:ind w:left="4276" w:hanging="175"/>
      </w:pPr>
      <w:rPr>
        <w:rFonts w:hint="default"/>
        <w:lang w:val="en-US" w:eastAsia="en-US" w:bidi="ar-SA"/>
      </w:rPr>
    </w:lvl>
  </w:abstractNum>
  <w:num w:numId="1" w16cid:durableId="5764763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2A0"/>
    <w:rsid w:val="00B322A0"/>
    <w:rsid w:val="00BA4BCE"/>
    <w:rsid w:val="00E43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DD9B2"/>
  <w15:docId w15:val="{939C2737-2BD3-423F-BB1E-431E1F2C7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Ttulo1">
    <w:name w:val="heading 1"/>
    <w:basedOn w:val="Normal"/>
    <w:uiPriority w:val="9"/>
    <w:qFormat/>
    <w:pPr>
      <w:ind w:left="103"/>
      <w:outlineLvl w:val="0"/>
    </w:pPr>
    <w:rPr>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103"/>
    </w:pPr>
    <w:rPr>
      <w:sz w:val="18"/>
      <w:szCs w:val="18"/>
    </w:rPr>
  </w:style>
  <w:style w:type="paragraph" w:styleId="Ttulo">
    <w:name w:val="Title"/>
    <w:basedOn w:val="Normal"/>
    <w:uiPriority w:val="10"/>
    <w:qFormat/>
    <w:pPr>
      <w:ind w:left="103"/>
    </w:pPr>
    <w:rPr>
      <w:b/>
      <w:bCs/>
      <w:sz w:val="28"/>
      <w:szCs w:val="28"/>
    </w:rPr>
  </w:style>
  <w:style w:type="paragraph" w:styleId="Prrafodelista">
    <w:name w:val="List Paragraph"/>
    <w:basedOn w:val="Normal"/>
    <w:uiPriority w:val="1"/>
    <w:qFormat/>
    <w:pPr>
      <w:ind w:left="348" w:right="114" w:hanging="245"/>
      <w:jc w:val="both"/>
    </w:pPr>
  </w:style>
  <w:style w:type="paragraph" w:customStyle="1" w:styleId="TableParagraph">
    <w:name w:val="Table Paragraph"/>
    <w:basedOn w:val="Normal"/>
    <w:uiPriority w:val="1"/>
    <w:qFormat/>
    <w:pPr>
      <w:spacing w:line="140" w:lineRule="exact"/>
      <w:ind w:left="21"/>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aacrjournals.org/cancerres/article-pdf/64/16/5527/2517954/zch01604005527.pdf" TargetMode="External"/><Relationship Id="rId18" Type="http://schemas.openxmlformats.org/officeDocument/2006/relationships/hyperlink" Target="http://aacrjournals.org/cancerres/article-pdf/64/16/5527/2517954/zch01604005527.pdf" TargetMode="External"/><Relationship Id="rId26" Type="http://schemas.openxmlformats.org/officeDocument/2006/relationships/image" Target="media/image4.jpeg"/><Relationship Id="rId3" Type="http://schemas.openxmlformats.org/officeDocument/2006/relationships/settings" Target="settings.xml"/><Relationship Id="rId21" Type="http://schemas.openxmlformats.org/officeDocument/2006/relationships/hyperlink" Target="http://aacrjournals.org/cancerres/article-pdf/64/16/5527/2517954/zch01604005527.pdf" TargetMode="External"/><Relationship Id="rId34"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footer" Target="footer2.xml"/><Relationship Id="rId17" Type="http://schemas.openxmlformats.org/officeDocument/2006/relationships/image" Target="media/image1.png"/><Relationship Id="rId25" Type="http://schemas.openxmlformats.org/officeDocument/2006/relationships/hyperlink" Target="http://aacrjournals.org/cancerres/article-pdf/64/16/5527/2517954/zch01604005527.pdf" TargetMode="External"/><Relationship Id="rId33" Type="http://schemas.openxmlformats.org/officeDocument/2006/relationships/hyperlink" Target="http://aacrjournals.org/cancerres/article-pdf/64/16/5527/2517954/zch01604005527.pdf" TargetMode="External"/><Relationship Id="rId2" Type="http://schemas.openxmlformats.org/officeDocument/2006/relationships/styles" Target="styles.xml"/><Relationship Id="rId16" Type="http://schemas.openxmlformats.org/officeDocument/2006/relationships/hyperlink" Target="http://bioinfo.cnio.es/cgibin/tools/clustering/sotarray" TargetMode="External"/><Relationship Id="rId20" Type="http://schemas.openxmlformats.org/officeDocument/2006/relationships/hyperlink" Target="http://aacrjournals.org/cancerres/article-pdf/64/16/5527/2517954/zch01604005527.pdf" TargetMode="External"/><Relationship Id="rId29" Type="http://schemas.openxmlformats.org/officeDocument/2006/relationships/hyperlink" Target="http://aacrjournals.org/cancerres/article-pdf/64/16/5527/2517954/zch01604005527.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aacrjournals.org/cancerres/article-pdf/64/16/5527/2517954/zch01604005527.pdf" TargetMode="External"/><Relationship Id="rId32" Type="http://schemas.openxmlformats.org/officeDocument/2006/relationships/hyperlink" Target="http://aacrjournals.org/cancerres/article-pdf/64/16/5527/2517954/zch01604005527.pdf" TargetMode="External"/><Relationship Id="rId5" Type="http://schemas.openxmlformats.org/officeDocument/2006/relationships/footnotes" Target="footnotes.xml"/><Relationship Id="rId15" Type="http://schemas.openxmlformats.org/officeDocument/2006/relationships/hyperlink" Target="http://lgsun.grc.nia.nih.gov/" TargetMode="External"/><Relationship Id="rId23" Type="http://schemas.openxmlformats.org/officeDocument/2006/relationships/image" Target="media/image3.png"/><Relationship Id="rId28" Type="http://schemas.openxmlformats.org/officeDocument/2006/relationships/hyperlink" Target="http://aacrjournals.org/cancerres/article-pdf/64/16/5527/2517954/zch01604005527.pdf" TargetMode="External"/><Relationship Id="rId10" Type="http://schemas.openxmlformats.org/officeDocument/2006/relationships/hyperlink" Target="mailto:mesteller@cnio.es" TargetMode="External"/><Relationship Id="rId19" Type="http://schemas.openxmlformats.org/officeDocument/2006/relationships/hyperlink" Target="http://aacrjournals.org/cancerres/article-pdf/64/16/5527/2517954/zch01604005527.pdf" TargetMode="External"/><Relationship Id="rId31" Type="http://schemas.openxmlformats.org/officeDocument/2006/relationships/hyperlink" Target="http://aacrjournals.org/cancerres/article-pdf/64/16/5527/2517954/zch01604005527.pdf" TargetMode="External"/><Relationship Id="rId4" Type="http://schemas.openxmlformats.org/officeDocument/2006/relationships/webSettings" Target="webSettings.xml"/><Relationship Id="rId9" Type="http://schemas.openxmlformats.org/officeDocument/2006/relationships/hyperlink" Target="http://aacrjournals.org/cancerres/article-pdf/64/16/5527/2517954/zch01604005527.pdf" TargetMode="External"/><Relationship Id="rId14" Type="http://schemas.openxmlformats.org/officeDocument/2006/relationships/hyperlink" Target="http://aacrjournals.org/cancerres/article-pdf/64/16/5527/2517954/zch01604005527.pdf" TargetMode="External"/><Relationship Id="rId22" Type="http://schemas.openxmlformats.org/officeDocument/2006/relationships/image" Target="media/image2.png"/><Relationship Id="rId27" Type="http://schemas.openxmlformats.org/officeDocument/2006/relationships/image" Target="media/image5.jpeg"/><Relationship Id="rId30" Type="http://schemas.openxmlformats.org/officeDocument/2006/relationships/hyperlink" Target="http://aacrjournals.org/cancerres/article-pdf/64/16/5527/2517954/zch01604005527.pdf" TargetMode="External"/><Relationship Id="rId35" Type="http://schemas.openxmlformats.org/officeDocument/2006/relationships/theme" Target="theme/theme1.xml"/><Relationship Id="rId8" Type="http://schemas.openxmlformats.org/officeDocument/2006/relationships/hyperlink" Target="http://aacrjournals.org/cancerres/article-pdf/64/16/5527/2517954/zch01604005527.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7585</Words>
  <Characters>41720</Characters>
  <Application>Microsoft Office Word</Application>
  <DocSecurity>0</DocSecurity>
  <Lines>347</Lines>
  <Paragraphs>98</Paragraphs>
  <ScaleCrop>false</ScaleCrop>
  <Company/>
  <LinksUpToDate>false</LinksUpToDate>
  <CharactersWithSpaces>49207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Lopez.Victoria</dc:creator>
  <cp:lastModifiedBy>Lopez.Victoria</cp:lastModifiedBy>
  <cp:revision>2</cp:revision>
  <dcterms:created xsi:type="dcterms:W3CDTF">2024-02-12T12:35:00Z</dcterms:created>
  <dcterms:modified xsi:type="dcterms:W3CDTF">2024-02-12T12:35:00Z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2004-08-05T00:00:00Z</vt:filetime>
  </property>
  <property fmtid="{D5CDD505-2E9C-101B-9397-08002B2CF9AE}" pid="3" name="Creator">
    <vt:lpwstr>XPP</vt:lpwstr>
  </property>
  <property fmtid="{D5CDD505-2E9C-101B-9397-08002B2CF9AE}" pid="4" name="LastSaved">
    <vt:filetime>2024-02-12T00:00:00Z</vt:filetime>
  </property>
  <property fmtid="{D5CDD505-2E9C-101B-9397-08002B2CF9AE}" pid="5" name="Producer">
    <vt:lpwstr>; modified using iTextSharp 4.1.6 by 1T3XT</vt:lpwstr>
  </property>
</Properties>
</file>