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4467" w:rsidRPr="0009712C" w:rsidRDefault="001C4467" w:rsidP="001C4467">
      <w:pPr>
        <w:pStyle w:val="Geenafstand"/>
        <w:jc w:val="both"/>
        <w:rPr>
          <w:b/>
          <w:sz w:val="32"/>
          <w:szCs w:val="32"/>
          <w:lang w:val="en-US"/>
        </w:rPr>
      </w:pPr>
      <w:r w:rsidRPr="0009712C">
        <w:rPr>
          <w:b/>
          <w:sz w:val="32"/>
          <w:szCs w:val="32"/>
          <w:lang w:val="en-US"/>
        </w:rPr>
        <w:t>Liposome induction of CD8</w:t>
      </w:r>
      <w:r w:rsidRPr="0009712C">
        <w:rPr>
          <w:b/>
          <w:sz w:val="32"/>
          <w:szCs w:val="32"/>
          <w:vertAlign w:val="superscript"/>
          <w:lang w:val="en-US"/>
        </w:rPr>
        <w:t>+</w:t>
      </w:r>
      <w:r w:rsidRPr="0009712C">
        <w:rPr>
          <w:b/>
          <w:sz w:val="32"/>
          <w:szCs w:val="32"/>
          <w:lang w:val="en-US"/>
        </w:rPr>
        <w:t xml:space="preserve"> T cell responses depends on CD169</w:t>
      </w:r>
      <w:r w:rsidRPr="0009712C">
        <w:rPr>
          <w:b/>
          <w:sz w:val="32"/>
          <w:szCs w:val="32"/>
          <w:vertAlign w:val="superscript"/>
          <w:lang w:val="en-US"/>
        </w:rPr>
        <w:t>+</w:t>
      </w:r>
      <w:r w:rsidRPr="0009712C">
        <w:rPr>
          <w:b/>
          <w:sz w:val="32"/>
          <w:szCs w:val="32"/>
          <w:lang w:val="en-US"/>
        </w:rPr>
        <w:t xml:space="preserve"> macrophages and Batf3-dependent dendritic cells and is enhanced by GM3 inclusion</w:t>
      </w:r>
    </w:p>
    <w:p w:rsidR="001C4467" w:rsidRPr="0009712C" w:rsidRDefault="001C4467" w:rsidP="001C4467">
      <w:pPr>
        <w:pStyle w:val="Geenafstand"/>
        <w:rPr>
          <w:lang w:val="en-US"/>
        </w:rPr>
      </w:pPr>
    </w:p>
    <w:p w:rsidR="001C4467" w:rsidRPr="00BE0C97" w:rsidRDefault="001C4467" w:rsidP="001C4467">
      <w:pPr>
        <w:spacing w:line="360" w:lineRule="auto"/>
        <w:rPr>
          <w:b/>
          <w:vertAlign w:val="superscript"/>
          <w:lang w:val="en-US"/>
        </w:rPr>
      </w:pPr>
      <w:r w:rsidRPr="00F56027">
        <w:rPr>
          <w:b/>
          <w:lang w:val="en-US"/>
        </w:rPr>
        <w:t>J. Grabowska</w:t>
      </w:r>
      <w:r w:rsidRPr="00F56027">
        <w:rPr>
          <w:b/>
          <w:vertAlign w:val="superscript"/>
          <w:lang w:val="en-US"/>
        </w:rPr>
        <w:t>1</w:t>
      </w:r>
      <w:r w:rsidRPr="00F56027">
        <w:rPr>
          <w:b/>
          <w:lang w:val="en-US"/>
        </w:rPr>
        <w:t>, A.J. Affandi</w:t>
      </w:r>
      <w:r w:rsidRPr="00F56027">
        <w:rPr>
          <w:b/>
          <w:vertAlign w:val="superscript"/>
          <w:lang w:val="en-US"/>
        </w:rPr>
        <w:t>1</w:t>
      </w:r>
      <w:r w:rsidRPr="00F56027">
        <w:rPr>
          <w:b/>
          <w:lang w:val="en-US"/>
        </w:rPr>
        <w:t>, D. van Dinther</w:t>
      </w:r>
      <w:r w:rsidRPr="00F56027">
        <w:rPr>
          <w:b/>
          <w:vertAlign w:val="superscript"/>
          <w:lang w:val="en-US"/>
        </w:rPr>
        <w:t>1</w:t>
      </w:r>
      <w:r w:rsidRPr="00F56027">
        <w:rPr>
          <w:b/>
          <w:lang w:val="en-US"/>
        </w:rPr>
        <w:t>, M.</w:t>
      </w:r>
      <w:r>
        <w:rPr>
          <w:b/>
          <w:lang w:val="en-US"/>
        </w:rPr>
        <w:t>K.</w:t>
      </w:r>
      <w:r w:rsidRPr="00F56027">
        <w:rPr>
          <w:b/>
          <w:lang w:val="en-US"/>
        </w:rPr>
        <w:t xml:space="preserve"> Nijen Twilhaar</w:t>
      </w:r>
      <w:r w:rsidRPr="00F56027">
        <w:rPr>
          <w:b/>
          <w:vertAlign w:val="superscript"/>
          <w:lang w:val="en-US"/>
        </w:rPr>
        <w:t>1</w:t>
      </w:r>
      <w:r w:rsidRPr="00F56027">
        <w:rPr>
          <w:b/>
          <w:lang w:val="en-US"/>
        </w:rPr>
        <w:t>,</w:t>
      </w:r>
      <w:r w:rsidRPr="00F56027">
        <w:rPr>
          <w:b/>
          <w:vertAlign w:val="superscript"/>
          <w:lang w:val="en-US"/>
        </w:rPr>
        <w:t xml:space="preserve"> </w:t>
      </w:r>
      <w:r w:rsidRPr="00F56027">
        <w:rPr>
          <w:b/>
          <w:lang w:val="en-US"/>
        </w:rPr>
        <w:t>K. Olesek</w:t>
      </w:r>
      <w:r w:rsidRPr="00F56027">
        <w:rPr>
          <w:b/>
          <w:vertAlign w:val="superscript"/>
          <w:lang w:val="en-US"/>
        </w:rPr>
        <w:t>1</w:t>
      </w:r>
      <w:r w:rsidRPr="00F56027">
        <w:rPr>
          <w:b/>
          <w:lang w:val="en-US"/>
        </w:rPr>
        <w:t>, L. Hoogterp</w:t>
      </w:r>
      <w:r w:rsidRPr="00F56027">
        <w:rPr>
          <w:b/>
          <w:vertAlign w:val="superscript"/>
          <w:lang w:val="en-US"/>
        </w:rPr>
        <w:t>1</w:t>
      </w:r>
      <w:r w:rsidRPr="00F56027">
        <w:rPr>
          <w:b/>
          <w:lang w:val="en-US"/>
        </w:rPr>
        <w:t>, M. Ambrosini</w:t>
      </w:r>
      <w:r w:rsidRPr="00F56027">
        <w:rPr>
          <w:b/>
          <w:vertAlign w:val="superscript"/>
          <w:lang w:val="en-US"/>
        </w:rPr>
        <w:t>1</w:t>
      </w:r>
      <w:r w:rsidRPr="00F56027">
        <w:rPr>
          <w:b/>
          <w:lang w:val="en-US"/>
        </w:rPr>
        <w:t>, D.A.M. Heijnen</w:t>
      </w:r>
      <w:r w:rsidRPr="00F56027">
        <w:rPr>
          <w:b/>
          <w:vertAlign w:val="superscript"/>
          <w:lang w:val="en-US"/>
        </w:rPr>
        <w:t>1</w:t>
      </w:r>
      <w:r w:rsidRPr="00F56027">
        <w:rPr>
          <w:b/>
          <w:lang w:val="en-US"/>
        </w:rPr>
        <w:t>, L. Klaase</w:t>
      </w:r>
      <w:r w:rsidRPr="00F56027">
        <w:rPr>
          <w:b/>
          <w:vertAlign w:val="superscript"/>
          <w:lang w:val="en-US"/>
        </w:rPr>
        <w:t>1</w:t>
      </w:r>
      <w:r w:rsidRPr="00F56027">
        <w:rPr>
          <w:b/>
          <w:lang w:val="en-US"/>
        </w:rPr>
        <w:t>, A. Hidalgo</w:t>
      </w:r>
      <w:r w:rsidRPr="00F56027">
        <w:rPr>
          <w:b/>
          <w:vertAlign w:val="superscript"/>
          <w:lang w:val="en-US"/>
        </w:rPr>
        <w:t>2</w:t>
      </w:r>
      <w:r w:rsidRPr="00F56027">
        <w:rPr>
          <w:b/>
          <w:lang w:val="en-US"/>
        </w:rPr>
        <w:t xml:space="preserve">, </w:t>
      </w:r>
      <w:r>
        <w:rPr>
          <w:b/>
          <w:lang w:val="en-US"/>
        </w:rPr>
        <w:t>K. Asano</w:t>
      </w:r>
      <w:r>
        <w:rPr>
          <w:b/>
          <w:vertAlign w:val="superscript"/>
          <w:lang w:val="en-US"/>
        </w:rPr>
        <w:t>3</w:t>
      </w:r>
      <w:r w:rsidRPr="00F56027">
        <w:rPr>
          <w:b/>
          <w:lang w:val="en-US"/>
        </w:rPr>
        <w:t>,</w:t>
      </w:r>
      <w:r>
        <w:rPr>
          <w:b/>
          <w:lang w:val="en-US"/>
        </w:rPr>
        <w:t xml:space="preserve"> P</w:t>
      </w:r>
      <w:r w:rsidRPr="00BE0C97">
        <w:rPr>
          <w:b/>
          <w:lang w:val="en-US"/>
        </w:rPr>
        <w:t>.R. Crocker</w:t>
      </w:r>
      <w:r>
        <w:rPr>
          <w:b/>
          <w:vertAlign w:val="superscript"/>
          <w:lang w:val="en-US"/>
        </w:rPr>
        <w:t>4</w:t>
      </w:r>
      <w:r w:rsidRPr="00BE0C97">
        <w:rPr>
          <w:b/>
          <w:lang w:val="en-US"/>
        </w:rPr>
        <w:t>, G. Storm</w:t>
      </w:r>
      <w:r>
        <w:rPr>
          <w:b/>
          <w:vertAlign w:val="superscript"/>
          <w:lang w:val="en-US"/>
        </w:rPr>
        <w:t>5,6,7</w:t>
      </w:r>
      <w:r w:rsidRPr="00BE0C97">
        <w:rPr>
          <w:b/>
          <w:lang w:val="en-US"/>
        </w:rPr>
        <w:t>, Y. van Kooyk</w:t>
      </w:r>
      <w:r w:rsidRPr="00BE0C97">
        <w:rPr>
          <w:b/>
          <w:vertAlign w:val="superscript"/>
          <w:lang w:val="en-US"/>
        </w:rPr>
        <w:t>1</w:t>
      </w:r>
      <w:r w:rsidRPr="00BE0C97">
        <w:rPr>
          <w:b/>
          <w:lang w:val="en-US"/>
        </w:rPr>
        <w:t xml:space="preserve"> and J.M.M. den Haan</w:t>
      </w:r>
      <w:r w:rsidRPr="00BE0C97">
        <w:rPr>
          <w:b/>
          <w:vertAlign w:val="superscript"/>
          <w:lang w:val="en-US"/>
        </w:rPr>
        <w:t>1*</w:t>
      </w:r>
    </w:p>
    <w:p w:rsidR="001C4467" w:rsidRPr="00BE0C97" w:rsidRDefault="001C4467" w:rsidP="001C4467">
      <w:pPr>
        <w:spacing w:line="360" w:lineRule="auto"/>
        <w:rPr>
          <w:shd w:val="clear" w:color="auto" w:fill="FFFFFF"/>
          <w:lang w:val="en-US"/>
        </w:rPr>
      </w:pPr>
      <w:r w:rsidRPr="00BE0C97">
        <w:rPr>
          <w:rFonts w:cs="Segoe UI"/>
          <w:vertAlign w:val="superscript"/>
          <w:lang w:val="en-US"/>
        </w:rPr>
        <w:t>1</w:t>
      </w:r>
      <w:r w:rsidRPr="00BE0C97">
        <w:rPr>
          <w:lang w:val="en-US"/>
        </w:rPr>
        <w:t xml:space="preserve"> </w:t>
      </w:r>
      <w:r w:rsidRPr="00BE0C97">
        <w:rPr>
          <w:shd w:val="clear" w:color="auto" w:fill="FFFFFF"/>
          <w:lang w:val="en-US"/>
        </w:rPr>
        <w:t xml:space="preserve">Department of Molecular Cell Biology and Immunology, Amsterdam University Medical Center,    Cancer Center Amsterdam, Amsterdam Infection and Immunity Institute, </w:t>
      </w:r>
      <w:proofErr w:type="spellStart"/>
      <w:r w:rsidRPr="00BE0C97">
        <w:rPr>
          <w:shd w:val="clear" w:color="auto" w:fill="FFFFFF"/>
          <w:lang w:val="en-US"/>
        </w:rPr>
        <w:t>Vrije</w:t>
      </w:r>
      <w:proofErr w:type="spellEnd"/>
      <w:r w:rsidRPr="00BE0C97">
        <w:rPr>
          <w:shd w:val="clear" w:color="auto" w:fill="FFFFFF"/>
          <w:lang w:val="en-US"/>
        </w:rPr>
        <w:t xml:space="preserve"> </w:t>
      </w:r>
      <w:proofErr w:type="spellStart"/>
      <w:r w:rsidRPr="00BE0C97">
        <w:rPr>
          <w:shd w:val="clear" w:color="auto" w:fill="FFFFFF"/>
          <w:lang w:val="en-US"/>
        </w:rPr>
        <w:t>Universiteit</w:t>
      </w:r>
      <w:proofErr w:type="spellEnd"/>
      <w:r w:rsidRPr="00BE0C97">
        <w:rPr>
          <w:shd w:val="clear" w:color="auto" w:fill="FFFFFF"/>
          <w:lang w:val="en-US"/>
        </w:rPr>
        <w:t xml:space="preserve"> Amsterdam, Amsterdam, Netherlands</w:t>
      </w:r>
    </w:p>
    <w:p w:rsidR="001C4467" w:rsidRPr="00BE0C97" w:rsidRDefault="001C4467" w:rsidP="001C4467">
      <w:pPr>
        <w:pStyle w:val="Geenafstand"/>
        <w:spacing w:line="360" w:lineRule="auto"/>
        <w:rPr>
          <w:lang w:val="en-US"/>
        </w:rPr>
      </w:pPr>
      <w:r w:rsidRPr="00BE0C97">
        <w:rPr>
          <w:vertAlign w:val="superscript"/>
          <w:lang w:val="en-US"/>
        </w:rPr>
        <w:t xml:space="preserve">2 </w:t>
      </w:r>
      <w:r w:rsidRPr="00BE0C97">
        <w:rPr>
          <w:lang w:val="en-US"/>
        </w:rPr>
        <w:t xml:space="preserve">Area of Cell and Developmental Biology, Centro Nacional de </w:t>
      </w:r>
      <w:proofErr w:type="spellStart"/>
      <w:r w:rsidRPr="00BE0C97">
        <w:rPr>
          <w:lang w:val="en-US"/>
        </w:rPr>
        <w:t>Investigaciones</w:t>
      </w:r>
      <w:proofErr w:type="spellEnd"/>
      <w:r w:rsidRPr="00BE0C97">
        <w:rPr>
          <w:lang w:val="en-US"/>
        </w:rPr>
        <w:t xml:space="preserve"> </w:t>
      </w:r>
      <w:proofErr w:type="spellStart"/>
      <w:r w:rsidRPr="00BE0C97">
        <w:rPr>
          <w:lang w:val="en-US"/>
        </w:rPr>
        <w:t>Cardiovasculares</w:t>
      </w:r>
      <w:proofErr w:type="spellEnd"/>
      <w:r w:rsidRPr="00BE0C97">
        <w:rPr>
          <w:lang w:val="en-US"/>
        </w:rPr>
        <w:t xml:space="preserve"> Carlos III, Madrid, Spain</w:t>
      </w:r>
    </w:p>
    <w:p w:rsidR="001C4467" w:rsidRPr="00BE0C97" w:rsidRDefault="001C4467" w:rsidP="001C4467">
      <w:pPr>
        <w:pStyle w:val="Geenafstand"/>
        <w:spacing w:line="360" w:lineRule="auto"/>
        <w:rPr>
          <w:rFonts w:cs="Segoe UI"/>
          <w:lang w:val="en"/>
        </w:rPr>
      </w:pPr>
      <w:r w:rsidRPr="00BE0C97">
        <w:rPr>
          <w:rFonts w:cs="Segoe UI"/>
          <w:vertAlign w:val="superscript"/>
          <w:lang w:val="en"/>
        </w:rPr>
        <w:t>3</w:t>
      </w:r>
      <w:r w:rsidRPr="00BE0C97">
        <w:rPr>
          <w:rFonts w:cs="Segoe UI"/>
          <w:lang w:val="en"/>
        </w:rPr>
        <w:t xml:space="preserve"> Laboratory of Immune Regulation, School of Life Science, Tokyo University of Pharmacy and Life Sciences, Tokyo 192-0392, Japan</w:t>
      </w:r>
    </w:p>
    <w:p w:rsidR="001C4467" w:rsidRPr="00BE0C97" w:rsidRDefault="001C4467" w:rsidP="001C4467">
      <w:pPr>
        <w:pStyle w:val="Geenafstand"/>
        <w:spacing w:line="360" w:lineRule="auto"/>
        <w:rPr>
          <w:lang w:val="en-US"/>
        </w:rPr>
      </w:pPr>
      <w:r w:rsidRPr="00BE0C97">
        <w:rPr>
          <w:vertAlign w:val="superscript"/>
          <w:lang w:val="en-US"/>
        </w:rPr>
        <w:t xml:space="preserve">4 </w:t>
      </w:r>
      <w:r w:rsidRPr="00BE0C97">
        <w:rPr>
          <w:lang w:val="en-US"/>
        </w:rPr>
        <w:t xml:space="preserve">Division of Cell </w:t>
      </w:r>
      <w:proofErr w:type="spellStart"/>
      <w:r w:rsidRPr="00BE0C97">
        <w:rPr>
          <w:lang w:val="en-US"/>
        </w:rPr>
        <w:t>Signalling</w:t>
      </w:r>
      <w:proofErr w:type="spellEnd"/>
      <w:r w:rsidRPr="00BE0C97">
        <w:rPr>
          <w:lang w:val="en-US"/>
        </w:rPr>
        <w:t xml:space="preserve"> and Immunology, School of Life Sciences, University of Dundee, Dundee, UK</w:t>
      </w:r>
    </w:p>
    <w:p w:rsidR="001C4467" w:rsidRPr="00BE0C97" w:rsidRDefault="001C4467" w:rsidP="001C4467">
      <w:pPr>
        <w:pStyle w:val="Geenafstand"/>
        <w:spacing w:line="360" w:lineRule="auto"/>
        <w:rPr>
          <w:rFonts w:cs="Arial"/>
          <w:shd w:val="clear" w:color="auto" w:fill="FFFFFF"/>
        </w:rPr>
      </w:pPr>
      <w:bookmarkStart w:id="0" w:name="_Hlk32049833"/>
      <w:r>
        <w:rPr>
          <w:rFonts w:cs="Segoe UI"/>
          <w:vertAlign w:val="superscript"/>
          <w:lang w:val="en"/>
        </w:rPr>
        <w:t>5</w:t>
      </w:r>
      <w:bookmarkEnd w:id="0"/>
      <w:r w:rsidRPr="00BE0C97">
        <w:rPr>
          <w:rFonts w:cs="Segoe UI"/>
          <w:vertAlign w:val="superscript"/>
          <w:lang w:val="en"/>
        </w:rPr>
        <w:t xml:space="preserve"> </w:t>
      </w:r>
      <w:bookmarkStart w:id="1" w:name="_Hlk32049905"/>
      <w:r w:rsidRPr="00BE0C97">
        <w:rPr>
          <w:rFonts w:cs="Arial"/>
          <w:shd w:val="clear" w:color="auto" w:fill="FFFFFF"/>
        </w:rPr>
        <w:t>Department</w:t>
      </w:r>
      <w:bookmarkEnd w:id="1"/>
      <w:r w:rsidRPr="00BE0C97">
        <w:rPr>
          <w:rFonts w:cs="Arial"/>
          <w:shd w:val="clear" w:color="auto" w:fill="FFFFFF"/>
        </w:rPr>
        <w:t xml:space="preserve"> of Pharmaceutics, Faculty of Science, Utrecht University, </w:t>
      </w:r>
      <w:proofErr w:type="spellStart"/>
      <w:r w:rsidRPr="00BE0C97">
        <w:rPr>
          <w:rFonts w:cs="Arial"/>
          <w:shd w:val="clear" w:color="auto" w:fill="FFFFFF"/>
        </w:rPr>
        <w:t>Universiteitsweg</w:t>
      </w:r>
      <w:proofErr w:type="spellEnd"/>
      <w:r w:rsidRPr="00BE0C97">
        <w:rPr>
          <w:rFonts w:cs="Arial"/>
          <w:shd w:val="clear" w:color="auto" w:fill="FFFFFF"/>
        </w:rPr>
        <w:t xml:space="preserve"> 99, 3584 CG Utrecht, the Netherlands</w:t>
      </w:r>
    </w:p>
    <w:p w:rsidR="001C4467" w:rsidRDefault="001C4467" w:rsidP="001C4467">
      <w:pPr>
        <w:pStyle w:val="Geenafstand"/>
        <w:spacing w:line="360" w:lineRule="auto"/>
        <w:rPr>
          <w:rFonts w:cs="Arial"/>
          <w:color w:val="000000"/>
          <w:shd w:val="clear" w:color="auto" w:fill="FFFFFF"/>
        </w:rPr>
      </w:pPr>
      <w:r>
        <w:rPr>
          <w:rFonts w:cs="Segoe UI"/>
          <w:vertAlign w:val="superscript"/>
          <w:lang w:val="en"/>
        </w:rPr>
        <w:t>6</w:t>
      </w:r>
      <w:r w:rsidRPr="00BE0C97">
        <w:rPr>
          <w:rFonts w:cs="Segoe UI"/>
          <w:vertAlign w:val="superscript"/>
          <w:lang w:val="en"/>
        </w:rPr>
        <w:t xml:space="preserve"> </w:t>
      </w:r>
      <w:r w:rsidRPr="00BE0C97">
        <w:rPr>
          <w:rFonts w:cs="Arial"/>
          <w:shd w:val="clear" w:color="auto" w:fill="FFFFFF"/>
        </w:rPr>
        <w:t xml:space="preserve">Department of Biomaterials, Science and </w:t>
      </w:r>
      <w:r>
        <w:rPr>
          <w:rFonts w:cs="Arial"/>
          <w:color w:val="000000"/>
          <w:shd w:val="clear" w:color="auto" w:fill="FFFFFF"/>
        </w:rPr>
        <w:t xml:space="preserve">Technology, Faculty of Science and Technology, University of </w:t>
      </w:r>
      <w:proofErr w:type="spellStart"/>
      <w:r>
        <w:rPr>
          <w:rFonts w:cs="Arial"/>
          <w:color w:val="000000"/>
          <w:shd w:val="clear" w:color="auto" w:fill="FFFFFF"/>
        </w:rPr>
        <w:t>Twente</w:t>
      </w:r>
      <w:proofErr w:type="spellEnd"/>
      <w:r>
        <w:rPr>
          <w:rFonts w:cs="Arial"/>
          <w:color w:val="000000"/>
          <w:shd w:val="clear" w:color="auto" w:fill="FFFFFF"/>
        </w:rPr>
        <w:t xml:space="preserve">, </w:t>
      </w:r>
      <w:proofErr w:type="spellStart"/>
      <w:r>
        <w:rPr>
          <w:rFonts w:cs="Arial"/>
          <w:color w:val="000000"/>
          <w:shd w:val="clear" w:color="auto" w:fill="FFFFFF"/>
        </w:rPr>
        <w:t>Enschede</w:t>
      </w:r>
      <w:proofErr w:type="spellEnd"/>
      <w:r>
        <w:rPr>
          <w:rFonts w:cs="Arial"/>
          <w:color w:val="000000"/>
          <w:shd w:val="clear" w:color="auto" w:fill="FFFFFF"/>
        </w:rPr>
        <w:t>, the Netherlands</w:t>
      </w:r>
    </w:p>
    <w:p w:rsidR="001C4467" w:rsidRPr="00C33F76" w:rsidRDefault="001C4467" w:rsidP="001C4467">
      <w:pPr>
        <w:pStyle w:val="Geenafstand"/>
        <w:spacing w:line="360" w:lineRule="auto"/>
        <w:rPr>
          <w:rFonts w:cs="Arial"/>
          <w:color w:val="000000"/>
          <w:shd w:val="clear" w:color="auto" w:fill="FFFFFF"/>
        </w:rPr>
      </w:pPr>
      <w:r>
        <w:rPr>
          <w:rFonts w:cs="Arial"/>
          <w:color w:val="000000"/>
          <w:shd w:val="clear" w:color="auto" w:fill="FFFFFF"/>
          <w:vertAlign w:val="superscript"/>
        </w:rPr>
        <w:t xml:space="preserve">7 </w:t>
      </w:r>
      <w:r w:rsidRPr="00471403">
        <w:t xml:space="preserve">Department of Surgery, Yong Loo Lin School of Medicine, National University of Singapore, </w:t>
      </w:r>
      <w:bookmarkStart w:id="2" w:name="OLE_LINK10"/>
      <w:bookmarkStart w:id="3" w:name="OLE_LINK11"/>
      <w:r w:rsidRPr="00471403">
        <w:t>117597</w:t>
      </w:r>
      <w:r>
        <w:t xml:space="preserve"> </w:t>
      </w:r>
      <w:r w:rsidRPr="00471403">
        <w:t>Singapore</w:t>
      </w:r>
      <w:bookmarkEnd w:id="2"/>
      <w:bookmarkEnd w:id="3"/>
    </w:p>
    <w:p w:rsidR="001C4467" w:rsidRPr="00C33F76" w:rsidRDefault="001C4467" w:rsidP="001C4467">
      <w:pPr>
        <w:pStyle w:val="Geenafstand"/>
        <w:spacing w:line="360" w:lineRule="auto"/>
        <w:rPr>
          <w:rFonts w:cs="Arial"/>
          <w:color w:val="000000"/>
          <w:shd w:val="clear" w:color="auto" w:fill="FFFFFF"/>
        </w:rPr>
      </w:pPr>
    </w:p>
    <w:p w:rsidR="001C4467" w:rsidRPr="00C33F76" w:rsidRDefault="001C4467" w:rsidP="001C4467">
      <w:pPr>
        <w:pStyle w:val="StyleStyleJustifiedFirstline125cm"/>
        <w:ind w:firstLine="0"/>
        <w:jc w:val="both"/>
        <w:rPr>
          <w:rFonts w:asciiTheme="minorHAnsi" w:hAnsiTheme="minorHAnsi" w:cs="Arial"/>
          <w:sz w:val="22"/>
          <w:szCs w:val="22"/>
          <w:lang w:val="en-US"/>
        </w:rPr>
      </w:pPr>
      <w:r w:rsidRPr="00C33F76">
        <w:rPr>
          <w:rFonts w:asciiTheme="minorHAnsi" w:hAnsiTheme="minorHAnsi" w:cs="Arial"/>
          <w:sz w:val="22"/>
          <w:szCs w:val="22"/>
          <w:lang w:val="en-US"/>
        </w:rPr>
        <w:t>*Corresponding author/Lead contact: Joke M.M. den Haan, Department of Molecular Cell Biology and Immunology, Amsterdam UMC, P.O. Box 7057, 1007 MB Amsterdam, the Netherlands. Phone: +31-20-4448058, Fax: +31-20-4448081, E-mail: j.denhaan@amsterdamumc.nl</w:t>
      </w:r>
    </w:p>
    <w:p w:rsidR="001C4467" w:rsidRPr="00C33F76" w:rsidRDefault="001C4467" w:rsidP="001C4467">
      <w:pPr>
        <w:pStyle w:val="StyleStyleJustifiedFirstline125cm"/>
        <w:jc w:val="both"/>
        <w:rPr>
          <w:rFonts w:asciiTheme="minorHAnsi" w:hAnsiTheme="minorHAnsi" w:cs="Arial"/>
          <w:sz w:val="22"/>
          <w:szCs w:val="22"/>
          <w:lang w:val="en-US"/>
        </w:rPr>
      </w:pPr>
    </w:p>
    <w:p w:rsidR="001C4467" w:rsidRDefault="001C4467" w:rsidP="001C4467">
      <w:pPr>
        <w:pStyle w:val="StyleStyleJustifiedFirstline125cm"/>
        <w:ind w:firstLine="0"/>
        <w:jc w:val="both"/>
        <w:rPr>
          <w:rFonts w:asciiTheme="minorHAnsi" w:hAnsiTheme="minorHAnsi" w:cs="Arial"/>
          <w:sz w:val="22"/>
          <w:szCs w:val="22"/>
          <w:lang w:val="en-US"/>
        </w:rPr>
      </w:pPr>
      <w:r w:rsidRPr="00C33F76">
        <w:rPr>
          <w:rFonts w:asciiTheme="minorHAnsi" w:hAnsiTheme="minorHAnsi" w:cs="Arial"/>
          <w:sz w:val="22"/>
          <w:szCs w:val="22"/>
          <w:lang w:val="en-US"/>
        </w:rPr>
        <w:t xml:space="preserve">Keywords: liposomes, CD169, Siglec-1, macrophage, dendritic </w:t>
      </w:r>
      <w:r>
        <w:rPr>
          <w:rFonts w:asciiTheme="minorHAnsi" w:hAnsiTheme="minorHAnsi" w:cs="Arial"/>
          <w:sz w:val="22"/>
          <w:szCs w:val="22"/>
          <w:lang w:val="en-US"/>
        </w:rPr>
        <w:t xml:space="preserve">cell, T cell response </w:t>
      </w:r>
    </w:p>
    <w:p w:rsidR="001C4467" w:rsidRDefault="001C4467">
      <w:pPr>
        <w:rPr>
          <w:b/>
          <w:lang w:val="en-US"/>
        </w:rPr>
      </w:pPr>
    </w:p>
    <w:p w:rsidR="001C4467" w:rsidRDefault="001C4467">
      <w:pPr>
        <w:rPr>
          <w:b/>
          <w:lang w:val="en-US"/>
        </w:rPr>
      </w:pPr>
    </w:p>
    <w:p w:rsidR="001C4467" w:rsidRDefault="001C4467">
      <w:pPr>
        <w:rPr>
          <w:b/>
          <w:lang w:val="en-US"/>
        </w:rPr>
      </w:pPr>
    </w:p>
    <w:p w:rsidR="001C4467" w:rsidRDefault="001C4467">
      <w:pPr>
        <w:rPr>
          <w:b/>
          <w:lang w:val="en-US"/>
        </w:rPr>
      </w:pPr>
    </w:p>
    <w:p w:rsidR="00A473FD" w:rsidRDefault="00A473FD">
      <w:pPr>
        <w:rPr>
          <w:b/>
        </w:rPr>
      </w:pPr>
      <w:proofErr w:type="spellStart"/>
      <w:r>
        <w:rPr>
          <w:b/>
        </w:rPr>
        <w:lastRenderedPageBreak/>
        <w:t>Supplementary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material</w:t>
      </w:r>
      <w:proofErr w:type="spellEnd"/>
    </w:p>
    <w:p w:rsidR="00504F34" w:rsidRDefault="00504F34">
      <w:pPr>
        <w:rPr>
          <w:b/>
        </w:rPr>
      </w:pPr>
    </w:p>
    <w:p w:rsidR="00A473FD" w:rsidRDefault="00A473FD">
      <w:pPr>
        <w:rPr>
          <w:b/>
        </w:rPr>
      </w:pPr>
      <w:r>
        <w:rPr>
          <w:noProof/>
          <w:lang w:eastAsia="nl-NL"/>
        </w:rPr>
        <w:drawing>
          <wp:inline distT="0" distB="0" distL="0" distR="0" wp14:anchorId="2E2B6CAB" wp14:editId="41212E53">
            <wp:extent cx="3179070" cy="1420371"/>
            <wp:effectExtent l="0" t="0" r="2540" b="889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79070" cy="14203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50A4" w:rsidRDefault="00AE50A4" w:rsidP="00AE50A4">
      <w:pPr>
        <w:pStyle w:val="Geenafstand"/>
        <w:spacing w:line="276" w:lineRule="auto"/>
        <w:jc w:val="both"/>
        <w:rPr>
          <w:rFonts w:cs="Arial"/>
          <w:lang w:val="en-US"/>
        </w:rPr>
      </w:pPr>
      <w:r>
        <w:rPr>
          <w:rFonts w:cs="Arial"/>
          <w:b/>
          <w:lang w:val="en-US"/>
        </w:rPr>
        <w:t>Supplementary</w:t>
      </w:r>
      <w:r w:rsidRPr="00005BB8">
        <w:rPr>
          <w:rFonts w:cs="Arial"/>
          <w:b/>
          <w:lang w:val="en-US"/>
        </w:rPr>
        <w:t xml:space="preserve"> Figure 1.</w:t>
      </w:r>
      <w:r w:rsidRPr="00005BB8">
        <w:rPr>
          <w:rFonts w:cs="Arial"/>
          <w:lang w:val="en-US"/>
        </w:rPr>
        <w:t xml:space="preserve"> CD169 receptor expression of macrophages and DCs in the spleen of WT and </w:t>
      </w:r>
      <w:r w:rsidRPr="00005BB8">
        <w:rPr>
          <w:lang w:val="en-US"/>
        </w:rPr>
        <w:t>CD169</w:t>
      </w:r>
      <w:r>
        <w:rPr>
          <w:lang w:val="en-US"/>
        </w:rPr>
        <w:t xml:space="preserve"> mutant mice, related to</w:t>
      </w:r>
      <w:r w:rsidR="001C4467">
        <w:rPr>
          <w:lang w:val="en-US"/>
        </w:rPr>
        <w:t xml:space="preserve"> </w:t>
      </w:r>
      <w:r w:rsidR="001C4467" w:rsidRPr="001C4467">
        <w:rPr>
          <w:lang w:val="en-US"/>
        </w:rPr>
        <w:t>Fig. 2B and Fig. 3A</w:t>
      </w:r>
      <w:r w:rsidRPr="00005BB8">
        <w:rPr>
          <w:rFonts w:cs="Arial"/>
          <w:lang w:val="en-US"/>
        </w:rPr>
        <w:t xml:space="preserve">. </w:t>
      </w:r>
      <w:r w:rsidRPr="00005BB8">
        <w:rPr>
          <w:lang w:val="en-US"/>
        </w:rPr>
        <w:t>CD169 receptor geometric</w:t>
      </w:r>
      <w:r>
        <w:rPr>
          <w:lang w:val="en-US"/>
        </w:rPr>
        <w:t xml:space="preserve"> mean fluorescence intensity (</w:t>
      </w:r>
      <w:proofErr w:type="spellStart"/>
      <w:r>
        <w:rPr>
          <w:lang w:val="en-US"/>
        </w:rPr>
        <w:t>g</w:t>
      </w:r>
      <w:r w:rsidRPr="00005BB8">
        <w:rPr>
          <w:lang w:val="en-US"/>
        </w:rPr>
        <w:t>MFI</w:t>
      </w:r>
      <w:proofErr w:type="spellEnd"/>
      <w:r w:rsidRPr="00005BB8">
        <w:rPr>
          <w:lang w:val="en-US"/>
        </w:rPr>
        <w:t>)</w:t>
      </w:r>
      <w:r>
        <w:rPr>
          <w:lang w:val="en-US"/>
        </w:rPr>
        <w:t xml:space="preserve"> (A) and frequency of splenic cell subsets (B) </w:t>
      </w:r>
      <w:r w:rsidRPr="00005BB8">
        <w:rPr>
          <w:lang w:val="en-US"/>
        </w:rPr>
        <w:t xml:space="preserve">determined by flow cytometry. </w:t>
      </w:r>
      <w:r w:rsidRPr="00005BB8">
        <w:rPr>
          <w:rFonts w:cs="Arial"/>
          <w:lang w:val="en-US"/>
        </w:rPr>
        <w:t>The data are from one experiment representative of at least two experiments</w:t>
      </w:r>
      <w:r w:rsidR="00BB3F82">
        <w:rPr>
          <w:rFonts w:cs="Arial"/>
          <w:lang w:val="en-US"/>
        </w:rPr>
        <w:t xml:space="preserve"> (n = 3)</w:t>
      </w:r>
      <w:r w:rsidRPr="00005BB8">
        <w:rPr>
          <w:rFonts w:cs="Arial"/>
          <w:lang w:val="en-US"/>
        </w:rPr>
        <w:t xml:space="preserve">. </w:t>
      </w:r>
      <w:r>
        <w:rPr>
          <w:rFonts w:cs="Arial"/>
          <w:lang w:val="en-US"/>
        </w:rPr>
        <w:t xml:space="preserve">Each symbol represents one mouse. </w:t>
      </w:r>
      <w:r w:rsidRPr="00005BB8">
        <w:rPr>
          <w:lang w:val="en-US"/>
        </w:rPr>
        <w:t>Error bars indicate mean ± SEM.</w:t>
      </w:r>
      <w:r>
        <w:rPr>
          <w:rFonts w:cs="Arial"/>
          <w:lang w:val="en-US"/>
        </w:rPr>
        <w:t xml:space="preserve"> *p &lt; 0.05, **p &lt; 0.01</w:t>
      </w:r>
      <w:r w:rsidRPr="00005BB8">
        <w:rPr>
          <w:rFonts w:cs="Arial"/>
          <w:lang w:val="en-US"/>
        </w:rPr>
        <w:t xml:space="preserve"> (one-way ANOVA with </w:t>
      </w:r>
      <w:proofErr w:type="spellStart"/>
      <w:r w:rsidRPr="00005BB8">
        <w:rPr>
          <w:rFonts w:cs="Arial"/>
          <w:lang w:val="en-US"/>
        </w:rPr>
        <w:t>Bonferroni’s</w:t>
      </w:r>
      <w:proofErr w:type="spellEnd"/>
      <w:r w:rsidRPr="00005BB8">
        <w:rPr>
          <w:rFonts w:cs="Arial"/>
          <w:lang w:val="en-US"/>
        </w:rPr>
        <w:t xml:space="preserve"> multiple comparison test).</w:t>
      </w:r>
    </w:p>
    <w:p w:rsidR="00AE50A4" w:rsidRDefault="00AE50A4">
      <w:pPr>
        <w:rPr>
          <w:b/>
          <w:lang w:val="en-US"/>
        </w:rPr>
      </w:pPr>
    </w:p>
    <w:p w:rsidR="00AE50A4" w:rsidRPr="00AE50A4" w:rsidRDefault="00AE50A4" w:rsidP="00AE50A4">
      <w:pPr>
        <w:rPr>
          <w:b/>
          <w:lang w:val="en-US"/>
        </w:rPr>
      </w:pPr>
      <w:r>
        <w:rPr>
          <w:noProof/>
          <w:lang w:eastAsia="nl-NL"/>
        </w:rPr>
        <w:drawing>
          <wp:inline distT="0" distB="0" distL="0" distR="0" wp14:anchorId="1B219D6A" wp14:editId="3BF21464">
            <wp:extent cx="5760720" cy="425259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5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50A4" w:rsidRDefault="00AE50A4" w:rsidP="00AE50A4">
      <w:pPr>
        <w:pStyle w:val="Geenafstand"/>
        <w:spacing w:line="276" w:lineRule="auto"/>
        <w:jc w:val="both"/>
        <w:rPr>
          <w:rFonts w:cs="Arial"/>
          <w:lang w:val="en-US"/>
        </w:rPr>
      </w:pPr>
      <w:r w:rsidRPr="001642C6">
        <w:rPr>
          <w:rFonts w:cs="Arial"/>
          <w:b/>
          <w:lang w:val="en-US"/>
        </w:rPr>
        <w:t>Supplementary Figure 2.</w:t>
      </w:r>
      <w:r w:rsidRPr="001642C6">
        <w:rPr>
          <w:rFonts w:cs="Arial"/>
          <w:lang w:val="en-US"/>
        </w:rPr>
        <w:t xml:space="preserve"> Gating strategy of isolated </w:t>
      </w:r>
      <w:proofErr w:type="spellStart"/>
      <w:r w:rsidRPr="001642C6">
        <w:rPr>
          <w:rFonts w:cs="Arial"/>
          <w:lang w:val="en-US"/>
        </w:rPr>
        <w:t>splenocytes</w:t>
      </w:r>
      <w:proofErr w:type="spellEnd"/>
      <w:r>
        <w:rPr>
          <w:rFonts w:cs="Arial"/>
          <w:lang w:val="en-US"/>
        </w:rPr>
        <w:t xml:space="preserve"> used to evaluate liposome binding</w:t>
      </w:r>
      <w:r w:rsidR="00B508D7">
        <w:rPr>
          <w:rFonts w:cs="Arial"/>
          <w:lang w:val="en-US"/>
        </w:rPr>
        <w:t xml:space="preserve">, related to </w:t>
      </w:r>
      <w:r w:rsidR="001C4467" w:rsidRPr="001C4467">
        <w:rPr>
          <w:rFonts w:cs="Arial"/>
          <w:lang w:val="en-US"/>
        </w:rPr>
        <w:t>Fig. 2-3</w:t>
      </w:r>
      <w:r w:rsidR="001C4467">
        <w:rPr>
          <w:rFonts w:cs="Arial"/>
          <w:lang w:val="en-US"/>
        </w:rPr>
        <w:t xml:space="preserve"> </w:t>
      </w:r>
      <w:r w:rsidR="00B508D7">
        <w:rPr>
          <w:rFonts w:cs="Arial"/>
          <w:lang w:val="en-US"/>
        </w:rPr>
        <w:t>and Fig. S3</w:t>
      </w:r>
      <w:r w:rsidRPr="001642C6">
        <w:rPr>
          <w:rFonts w:cs="Arial"/>
          <w:lang w:val="en-US"/>
        </w:rPr>
        <w:t>. Top panel shows initial gating to obtain single cell fraction. A. Gating strategy for DC/macrophage/B cell staining. B. Gating strategy for NK cell/T cell/monocyte staining.</w:t>
      </w:r>
    </w:p>
    <w:p w:rsidR="003B524A" w:rsidRDefault="003B524A" w:rsidP="00AE50A4">
      <w:pPr>
        <w:pStyle w:val="Geenafstand"/>
        <w:spacing w:line="276" w:lineRule="auto"/>
        <w:jc w:val="both"/>
        <w:rPr>
          <w:rFonts w:cs="Arial"/>
          <w:lang w:val="en-US"/>
        </w:rPr>
      </w:pPr>
    </w:p>
    <w:p w:rsidR="003B524A" w:rsidRPr="00B508D7" w:rsidRDefault="00B508D7" w:rsidP="00AE50A4">
      <w:pPr>
        <w:pStyle w:val="Geenafstand"/>
        <w:spacing w:line="276" w:lineRule="auto"/>
        <w:jc w:val="both"/>
        <w:rPr>
          <w:rFonts w:cs="Arial"/>
          <w:lang w:val="en-US"/>
        </w:rPr>
      </w:pPr>
      <w:r>
        <w:rPr>
          <w:noProof/>
          <w:lang w:val="nl-NL" w:eastAsia="nl-NL"/>
        </w:rPr>
        <w:lastRenderedPageBreak/>
        <w:drawing>
          <wp:inline distT="0" distB="0" distL="0" distR="0" wp14:anchorId="195B4C31" wp14:editId="653FB414">
            <wp:extent cx="5720715" cy="8892540"/>
            <wp:effectExtent l="0" t="0" r="0" b="3810"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20715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524A" w:rsidRPr="00D753BE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  <w:r>
        <w:rPr>
          <w:rFonts w:cs="Arial"/>
          <w:b/>
          <w:lang w:val="en-US"/>
        </w:rPr>
        <w:lastRenderedPageBreak/>
        <w:t>Supplementary</w:t>
      </w:r>
      <w:r w:rsidRPr="000A590E">
        <w:rPr>
          <w:rFonts w:cs="Arial"/>
          <w:b/>
          <w:lang w:val="en-US"/>
        </w:rPr>
        <w:t xml:space="preserve"> Figure 3.</w:t>
      </w:r>
      <w:r w:rsidRPr="000A590E">
        <w:rPr>
          <w:rFonts w:cs="Arial"/>
          <w:lang w:val="en-US"/>
        </w:rPr>
        <w:t xml:space="preserve"> GM3 liposomes are predominantly internalized by CD169</w:t>
      </w:r>
      <w:r w:rsidRPr="000A590E">
        <w:rPr>
          <w:rFonts w:cs="Arial"/>
          <w:vertAlign w:val="superscript"/>
          <w:lang w:val="en-US"/>
        </w:rPr>
        <w:t>+</w:t>
      </w:r>
      <w:r w:rsidRPr="000A590E">
        <w:rPr>
          <w:rFonts w:cs="Arial"/>
          <w:lang w:val="en-US"/>
        </w:rPr>
        <w:t xml:space="preserve"> macrophages </w:t>
      </w:r>
      <w:r w:rsidRPr="000A590E">
        <w:rPr>
          <w:rFonts w:cs="Arial"/>
          <w:i/>
          <w:lang w:val="en-US"/>
        </w:rPr>
        <w:t>in</w:t>
      </w:r>
      <w:r w:rsidR="00B508D7">
        <w:rPr>
          <w:rFonts w:cs="Arial"/>
          <w:i/>
          <w:lang w:val="en-US"/>
        </w:rPr>
        <w:t xml:space="preserve"> vitro</w:t>
      </w:r>
      <w:r w:rsidR="00B508D7">
        <w:rPr>
          <w:rFonts w:cs="Arial"/>
          <w:lang w:val="en-US"/>
        </w:rPr>
        <w:t xml:space="preserve"> and</w:t>
      </w:r>
      <w:r w:rsidRPr="000A590E">
        <w:rPr>
          <w:rFonts w:cs="Arial"/>
          <w:i/>
          <w:lang w:val="en-US"/>
        </w:rPr>
        <w:t xml:space="preserve"> vivo</w:t>
      </w:r>
      <w:r w:rsidR="00B508D7">
        <w:rPr>
          <w:rFonts w:cs="Arial"/>
          <w:lang w:val="en-US"/>
        </w:rPr>
        <w:t>, related to</w:t>
      </w:r>
      <w:r w:rsidR="001C4467">
        <w:rPr>
          <w:rFonts w:cs="Arial"/>
          <w:lang w:val="en-US"/>
        </w:rPr>
        <w:t xml:space="preserve"> </w:t>
      </w:r>
      <w:r w:rsidR="001C4467" w:rsidRPr="001C4467">
        <w:rPr>
          <w:rFonts w:cs="Arial"/>
          <w:lang w:val="en-US"/>
        </w:rPr>
        <w:t>Fig. 2-3</w:t>
      </w:r>
      <w:r w:rsidRPr="000A590E">
        <w:rPr>
          <w:rFonts w:cs="Arial"/>
          <w:lang w:val="en-US"/>
        </w:rPr>
        <w:t>. A</w:t>
      </w:r>
      <w:r>
        <w:rPr>
          <w:rFonts w:cs="Arial"/>
          <w:lang w:val="en-US"/>
        </w:rPr>
        <w:t xml:space="preserve">. </w:t>
      </w:r>
      <w:r w:rsidR="008F0899">
        <w:rPr>
          <w:i/>
          <w:lang w:val="en-US"/>
        </w:rPr>
        <w:t xml:space="preserve">In vitro </w:t>
      </w:r>
      <w:r w:rsidR="008F0899">
        <w:rPr>
          <w:lang w:val="en-US"/>
        </w:rPr>
        <w:t>uptake (37</w:t>
      </w:r>
      <w:r w:rsidR="00BB3F82">
        <w:rPr>
          <w:lang w:val="en-US"/>
        </w:rPr>
        <w:t xml:space="preserve"> </w:t>
      </w:r>
      <w:r w:rsidR="008F0899">
        <w:rPr>
          <w:lang w:val="en-US"/>
        </w:rPr>
        <w:t xml:space="preserve">°C) of liposomes by WT and CD169 mutant </w:t>
      </w:r>
      <w:r w:rsidR="008B5E4F" w:rsidRPr="000A590E">
        <w:rPr>
          <w:rFonts w:cs="Arial"/>
          <w:lang w:val="en-US"/>
        </w:rPr>
        <w:t>CD169</w:t>
      </w:r>
      <w:r w:rsidR="008B5E4F" w:rsidRPr="000A590E">
        <w:rPr>
          <w:rFonts w:cs="Arial"/>
          <w:vertAlign w:val="superscript"/>
          <w:lang w:val="en-US"/>
        </w:rPr>
        <w:t>+</w:t>
      </w:r>
      <w:r w:rsidR="008B5E4F">
        <w:rPr>
          <w:rFonts w:cs="Arial"/>
          <w:lang w:val="en-US"/>
        </w:rPr>
        <w:t xml:space="preserve"> macrophages, F4/80</w:t>
      </w:r>
      <w:r w:rsidR="008B5E4F" w:rsidRPr="004633D2">
        <w:rPr>
          <w:rFonts w:cs="Arial"/>
          <w:vertAlign w:val="superscript"/>
          <w:lang w:val="en-US"/>
        </w:rPr>
        <w:t>+</w:t>
      </w:r>
      <w:r w:rsidR="008B5E4F">
        <w:rPr>
          <w:rFonts w:cs="Arial"/>
          <w:lang w:val="en-US"/>
        </w:rPr>
        <w:t xml:space="preserve"> macrophages and cDC1</w:t>
      </w:r>
      <w:r w:rsidR="008F0899">
        <w:rPr>
          <w:lang w:val="en-US"/>
        </w:rPr>
        <w:t xml:space="preserve"> determined by flow cytometry. The graphs are representative histograms. B. </w:t>
      </w:r>
      <w:r w:rsidR="008B5E4F">
        <w:rPr>
          <w:i/>
          <w:lang w:val="en-US"/>
        </w:rPr>
        <w:t>In vivo</w:t>
      </w:r>
      <w:r w:rsidR="008B5E4F">
        <w:rPr>
          <w:lang w:val="en-US"/>
        </w:rPr>
        <w:t xml:space="preserve"> uptake of liposomes by WT and CD169 mutant </w:t>
      </w:r>
      <w:proofErr w:type="spellStart"/>
      <w:r w:rsidR="008B5E4F">
        <w:rPr>
          <w:lang w:val="en-US"/>
        </w:rPr>
        <w:t>splenocytes</w:t>
      </w:r>
      <w:proofErr w:type="spellEnd"/>
      <w:r w:rsidR="008B5E4F">
        <w:rPr>
          <w:lang w:val="en-US"/>
        </w:rPr>
        <w:t xml:space="preserve"> determined </w:t>
      </w:r>
      <w:r>
        <w:rPr>
          <w:rFonts w:cs="Arial"/>
          <w:lang w:val="en-US"/>
        </w:rPr>
        <w:t>a</w:t>
      </w:r>
      <w:r w:rsidR="00BB3F82">
        <w:rPr>
          <w:rFonts w:cs="Arial"/>
          <w:lang w:val="en-US"/>
        </w:rPr>
        <w:t>t 2 h</w:t>
      </w:r>
      <w:r w:rsidR="008B5E4F">
        <w:rPr>
          <w:rFonts w:cs="Arial"/>
          <w:lang w:val="en-US"/>
        </w:rPr>
        <w:t xml:space="preserve"> </w:t>
      </w:r>
      <w:proofErr w:type="spellStart"/>
      <w:r w:rsidR="008B5E4F">
        <w:rPr>
          <w:rFonts w:cs="Arial"/>
          <w:lang w:val="en-US"/>
        </w:rPr>
        <w:t>p.i</w:t>
      </w:r>
      <w:proofErr w:type="spellEnd"/>
      <w:r w:rsidR="008B5E4F">
        <w:rPr>
          <w:rFonts w:cs="Arial"/>
          <w:lang w:val="en-US"/>
        </w:rPr>
        <w:t xml:space="preserve">. by flow cytometry. </w:t>
      </w:r>
      <w:r w:rsidR="008B5E4F">
        <w:rPr>
          <w:lang w:val="en-US"/>
        </w:rPr>
        <w:t xml:space="preserve">The graphs are representative histograms for </w:t>
      </w:r>
      <w:r w:rsidR="007E774E" w:rsidRPr="000A590E">
        <w:rPr>
          <w:rFonts w:cs="Arial"/>
          <w:lang w:val="en-US"/>
        </w:rPr>
        <w:t>CD169</w:t>
      </w:r>
      <w:r w:rsidR="007E774E" w:rsidRPr="000A590E">
        <w:rPr>
          <w:rFonts w:cs="Arial"/>
          <w:vertAlign w:val="superscript"/>
          <w:lang w:val="en-US"/>
        </w:rPr>
        <w:t>+</w:t>
      </w:r>
      <w:r w:rsidR="007E774E">
        <w:rPr>
          <w:rFonts w:cs="Arial"/>
          <w:lang w:val="en-US"/>
        </w:rPr>
        <w:t xml:space="preserve"> macrophages, F4/80</w:t>
      </w:r>
      <w:r w:rsidR="007E774E" w:rsidRPr="004633D2">
        <w:rPr>
          <w:rFonts w:cs="Arial"/>
          <w:vertAlign w:val="superscript"/>
          <w:lang w:val="en-US"/>
        </w:rPr>
        <w:t>+</w:t>
      </w:r>
      <w:r w:rsidR="007E774E">
        <w:rPr>
          <w:rFonts w:cs="Arial"/>
          <w:lang w:val="en-US"/>
        </w:rPr>
        <w:t xml:space="preserve"> macrophages and cDC1 and q</w:t>
      </w:r>
      <w:r w:rsidR="008B5E4F">
        <w:rPr>
          <w:lang w:val="en-US"/>
        </w:rPr>
        <w:t xml:space="preserve">uantification of </w:t>
      </w:r>
      <w:proofErr w:type="spellStart"/>
      <w:r w:rsidR="008B5E4F">
        <w:rPr>
          <w:lang w:val="en-US"/>
        </w:rPr>
        <w:t>DiD</w:t>
      </w:r>
      <w:proofErr w:type="spellEnd"/>
      <w:r w:rsidR="008B5E4F">
        <w:rPr>
          <w:lang w:val="en-US"/>
        </w:rPr>
        <w:t xml:space="preserve"> </w:t>
      </w:r>
      <w:proofErr w:type="spellStart"/>
      <w:r w:rsidR="008B5E4F">
        <w:rPr>
          <w:lang w:val="en-US"/>
        </w:rPr>
        <w:t>gMFI</w:t>
      </w:r>
      <w:proofErr w:type="spellEnd"/>
      <w:r w:rsidR="008B5E4F">
        <w:rPr>
          <w:lang w:val="en-US"/>
        </w:rPr>
        <w:t xml:space="preserve"> with representative histograms</w:t>
      </w:r>
      <w:r w:rsidR="007E774E">
        <w:rPr>
          <w:lang w:val="en-US"/>
        </w:rPr>
        <w:t xml:space="preserve"> for </w:t>
      </w:r>
      <w:r w:rsidR="00D753BE">
        <w:rPr>
          <w:rFonts w:cs="Arial"/>
          <w:lang w:val="en-US"/>
        </w:rPr>
        <w:t>cDC2, B cells and monocytes</w:t>
      </w:r>
      <w:r w:rsidR="008B5E4F">
        <w:rPr>
          <w:lang w:val="en-US"/>
        </w:rPr>
        <w:t>.</w:t>
      </w:r>
      <w:r w:rsidR="00D753BE">
        <w:rPr>
          <w:rFonts w:cs="Arial"/>
          <w:lang w:val="en-US"/>
        </w:rPr>
        <w:t xml:space="preserve"> </w:t>
      </w:r>
      <w:r w:rsidR="008B5E4F">
        <w:rPr>
          <w:rFonts w:cs="Arial"/>
          <w:lang w:val="en-US"/>
        </w:rPr>
        <w:t>C</w:t>
      </w:r>
      <w:r>
        <w:rPr>
          <w:rFonts w:cs="Arial"/>
          <w:lang w:val="en-US"/>
        </w:rPr>
        <w:t xml:space="preserve">. Uptake of liposomes by </w:t>
      </w:r>
      <w:r w:rsidRPr="000A590E">
        <w:rPr>
          <w:rFonts w:cs="Arial"/>
          <w:lang w:val="en-US"/>
        </w:rPr>
        <w:t>CD169</w:t>
      </w:r>
      <w:r w:rsidRPr="000A590E">
        <w:rPr>
          <w:rFonts w:cs="Arial"/>
          <w:vertAlign w:val="superscript"/>
          <w:lang w:val="en-US"/>
        </w:rPr>
        <w:t>+</w:t>
      </w:r>
      <w:r>
        <w:rPr>
          <w:rFonts w:cs="Arial"/>
          <w:lang w:val="en-US"/>
        </w:rPr>
        <w:t xml:space="preserve"> macrophages, F4/80</w:t>
      </w:r>
      <w:r w:rsidRPr="004633D2">
        <w:rPr>
          <w:rFonts w:cs="Arial"/>
          <w:vertAlign w:val="superscript"/>
          <w:lang w:val="en-US"/>
        </w:rPr>
        <w:t>+</w:t>
      </w:r>
      <w:r>
        <w:rPr>
          <w:rFonts w:cs="Arial"/>
          <w:lang w:val="en-US"/>
        </w:rPr>
        <w:t xml:space="preserve"> macrophages and cDC1 determined at 2 h and 16 h </w:t>
      </w:r>
      <w:proofErr w:type="spellStart"/>
      <w:r>
        <w:rPr>
          <w:rFonts w:cs="Arial"/>
          <w:lang w:val="en-US"/>
        </w:rPr>
        <w:t>p.i</w:t>
      </w:r>
      <w:proofErr w:type="spellEnd"/>
      <w:r>
        <w:rPr>
          <w:rFonts w:cs="Arial"/>
          <w:lang w:val="en-US"/>
        </w:rPr>
        <w:t xml:space="preserve">. by flow cytometry. </w:t>
      </w:r>
      <w:r w:rsidR="008B5E4F">
        <w:rPr>
          <w:lang w:val="en-US"/>
        </w:rPr>
        <w:t xml:space="preserve">The data are </w:t>
      </w:r>
      <w:r w:rsidR="008B5E4F">
        <w:rPr>
          <w:rFonts w:cs="Arial"/>
          <w:lang w:val="en-US"/>
        </w:rPr>
        <w:t>from one experiment representative of three (A, n</w:t>
      </w:r>
      <w:r w:rsidR="00BB3F82">
        <w:rPr>
          <w:rFonts w:cs="Arial"/>
          <w:lang w:val="en-US"/>
        </w:rPr>
        <w:t xml:space="preserve"> </w:t>
      </w:r>
      <w:r w:rsidR="008B5E4F">
        <w:rPr>
          <w:rFonts w:cs="Arial"/>
          <w:lang w:val="en-US"/>
        </w:rPr>
        <w:t>=</w:t>
      </w:r>
      <w:r w:rsidR="00BB3F82">
        <w:rPr>
          <w:rFonts w:cs="Arial"/>
          <w:lang w:val="en-US"/>
        </w:rPr>
        <w:t xml:space="preserve"> </w:t>
      </w:r>
      <w:r w:rsidR="008B5E4F">
        <w:rPr>
          <w:rFonts w:cs="Arial"/>
          <w:lang w:val="en-US"/>
        </w:rPr>
        <w:t>3), from one experiment representative of two experiments (B, n</w:t>
      </w:r>
      <w:r w:rsidR="00BB3F82">
        <w:rPr>
          <w:rFonts w:cs="Arial"/>
          <w:lang w:val="en-US"/>
        </w:rPr>
        <w:t xml:space="preserve"> </w:t>
      </w:r>
      <w:r w:rsidR="008B5E4F">
        <w:rPr>
          <w:rFonts w:cs="Arial"/>
          <w:lang w:val="en-US"/>
        </w:rPr>
        <w:t>=</w:t>
      </w:r>
      <w:r w:rsidR="00BB3F82">
        <w:rPr>
          <w:rFonts w:cs="Arial"/>
          <w:lang w:val="en-US"/>
        </w:rPr>
        <w:t xml:space="preserve"> </w:t>
      </w:r>
      <w:r w:rsidR="008B5E4F">
        <w:rPr>
          <w:rFonts w:cs="Arial"/>
          <w:lang w:val="en-US"/>
        </w:rPr>
        <w:t>3) and from one experiment (B, n</w:t>
      </w:r>
      <w:r w:rsidR="00BB3F82">
        <w:rPr>
          <w:rFonts w:cs="Arial"/>
          <w:lang w:val="en-US"/>
        </w:rPr>
        <w:t xml:space="preserve"> </w:t>
      </w:r>
      <w:r w:rsidR="008B5E4F">
        <w:rPr>
          <w:rFonts w:cs="Arial"/>
          <w:lang w:val="en-US"/>
        </w:rPr>
        <w:t>=</w:t>
      </w:r>
      <w:r w:rsidR="00BB3F82">
        <w:rPr>
          <w:rFonts w:cs="Arial"/>
          <w:lang w:val="en-US"/>
        </w:rPr>
        <w:t xml:space="preserve"> </w:t>
      </w:r>
      <w:r w:rsidR="008B5E4F">
        <w:rPr>
          <w:rFonts w:cs="Arial"/>
          <w:lang w:val="en-US"/>
        </w:rPr>
        <w:t xml:space="preserve">3). </w:t>
      </w:r>
      <w:r>
        <w:rPr>
          <w:rFonts w:cs="Arial"/>
          <w:lang w:val="en-US"/>
        </w:rPr>
        <w:t xml:space="preserve">Each symbol represents one mouse. </w:t>
      </w:r>
      <w:r w:rsidRPr="00005BB8">
        <w:rPr>
          <w:lang w:val="en-US"/>
        </w:rPr>
        <w:t>Error bars indicate mean ± SEM.</w:t>
      </w:r>
      <w:r>
        <w:rPr>
          <w:rFonts w:cs="Arial"/>
          <w:lang w:val="en-US"/>
        </w:rPr>
        <w:t xml:space="preserve"> *p &lt; 0.05, **p &lt; 0.01</w:t>
      </w:r>
      <w:r w:rsidRPr="00005BB8">
        <w:rPr>
          <w:rFonts w:cs="Arial"/>
          <w:lang w:val="en-US"/>
        </w:rPr>
        <w:t xml:space="preserve"> (one-way ANOVA with </w:t>
      </w:r>
      <w:proofErr w:type="spellStart"/>
      <w:r w:rsidRPr="00005BB8">
        <w:rPr>
          <w:rFonts w:cs="Arial"/>
          <w:lang w:val="en-US"/>
        </w:rPr>
        <w:t>Bonferroni’s</w:t>
      </w:r>
      <w:proofErr w:type="spellEnd"/>
      <w:r w:rsidRPr="00005BB8">
        <w:rPr>
          <w:rFonts w:cs="Arial"/>
          <w:lang w:val="en-US"/>
        </w:rPr>
        <w:t xml:space="preserve"> multiple comparison test).</w:t>
      </w: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</w:p>
    <w:p w:rsidR="003B524A" w:rsidRDefault="003B524A">
      <w:pPr>
        <w:rPr>
          <w:rFonts w:cs="Arial"/>
          <w:lang w:val="en-US"/>
        </w:rPr>
      </w:pPr>
      <w:r>
        <w:rPr>
          <w:rFonts w:cs="Arial"/>
          <w:lang w:val="en-US"/>
        </w:rPr>
        <w:br w:type="page"/>
      </w: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  <w:r>
        <w:rPr>
          <w:noProof/>
          <w:lang w:val="nl-NL" w:eastAsia="nl-NL"/>
        </w:rPr>
        <w:lastRenderedPageBreak/>
        <w:drawing>
          <wp:inline distT="0" distB="0" distL="0" distR="0" wp14:anchorId="0AB9FBF6" wp14:editId="45CE65C9">
            <wp:extent cx="5760720" cy="7729855"/>
            <wp:effectExtent l="0" t="0" r="0" b="4445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72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524A" w:rsidRPr="00FC37B9" w:rsidRDefault="003B524A" w:rsidP="003B524A">
      <w:pPr>
        <w:pStyle w:val="Geenafstand"/>
        <w:spacing w:line="276" w:lineRule="auto"/>
        <w:jc w:val="both"/>
        <w:rPr>
          <w:rFonts w:cs="Arial"/>
          <w:b/>
          <w:lang w:val="en-US"/>
        </w:rPr>
      </w:pPr>
      <w:r w:rsidRPr="00FC37B9">
        <w:rPr>
          <w:rFonts w:cs="Arial"/>
          <w:b/>
          <w:lang w:val="en-US"/>
        </w:rPr>
        <w:t xml:space="preserve">Supplementary Figure 4. </w:t>
      </w:r>
      <w:r w:rsidRPr="00FC37B9">
        <w:rPr>
          <w:rFonts w:cs="Arial"/>
          <w:lang w:val="en-US"/>
        </w:rPr>
        <w:t xml:space="preserve">Gating strategy of isolated </w:t>
      </w:r>
      <w:proofErr w:type="spellStart"/>
      <w:r w:rsidRPr="00FC37B9">
        <w:rPr>
          <w:rFonts w:cs="Arial"/>
          <w:lang w:val="en-US"/>
        </w:rPr>
        <w:t>splenocytes</w:t>
      </w:r>
      <w:proofErr w:type="spellEnd"/>
      <w:r w:rsidRPr="00FC37B9">
        <w:rPr>
          <w:rFonts w:cs="Arial"/>
          <w:lang w:val="en-US"/>
        </w:rPr>
        <w:t xml:space="preserve"> used to evaluate adaptive imm</w:t>
      </w:r>
      <w:r w:rsidR="00B508D7">
        <w:rPr>
          <w:rFonts w:cs="Arial"/>
          <w:lang w:val="en-US"/>
        </w:rPr>
        <w:t>une responses, related to</w:t>
      </w:r>
      <w:r w:rsidR="0046664E">
        <w:rPr>
          <w:rFonts w:cs="Arial"/>
          <w:lang w:val="en-US"/>
        </w:rPr>
        <w:t xml:space="preserve"> </w:t>
      </w:r>
      <w:r w:rsidR="0046664E" w:rsidRPr="0046664E">
        <w:rPr>
          <w:rFonts w:cs="Arial"/>
          <w:lang w:val="en-US"/>
        </w:rPr>
        <w:t>Fig. 4-7</w:t>
      </w:r>
      <w:r w:rsidRPr="00FC37B9">
        <w:rPr>
          <w:rFonts w:cs="Arial"/>
          <w:lang w:val="en-US"/>
        </w:rPr>
        <w:t>. Top panel shows initial gating to obtain single cell fraction. A. Gating strategy for CD8</w:t>
      </w:r>
      <w:r w:rsidRPr="00FC37B9">
        <w:rPr>
          <w:rFonts w:cs="Arial"/>
          <w:vertAlign w:val="superscript"/>
          <w:lang w:val="en-US"/>
        </w:rPr>
        <w:t xml:space="preserve">+ </w:t>
      </w:r>
      <w:r w:rsidRPr="00FC37B9">
        <w:rPr>
          <w:rFonts w:cs="Arial"/>
          <w:lang w:val="en-US"/>
        </w:rPr>
        <w:t>T cell Tetramer staining. B Gating strategy for CD8</w:t>
      </w:r>
      <w:r w:rsidRPr="00FC37B9">
        <w:rPr>
          <w:rFonts w:cs="Arial"/>
          <w:vertAlign w:val="superscript"/>
          <w:lang w:val="en-US"/>
        </w:rPr>
        <w:t>+</w:t>
      </w:r>
      <w:r w:rsidRPr="00FC37B9">
        <w:rPr>
          <w:rFonts w:cs="Arial"/>
          <w:lang w:val="en-US"/>
        </w:rPr>
        <w:t xml:space="preserve"> T cell re-stimulation staining. C. Gating strategy for CD4</w:t>
      </w:r>
      <w:r w:rsidRPr="00FC37B9">
        <w:rPr>
          <w:rFonts w:cs="Arial"/>
          <w:vertAlign w:val="superscript"/>
          <w:lang w:val="en-US"/>
        </w:rPr>
        <w:t>+</w:t>
      </w:r>
      <w:r w:rsidRPr="00FC37B9">
        <w:rPr>
          <w:rFonts w:cs="Arial"/>
          <w:lang w:val="en-US"/>
        </w:rPr>
        <w:t xml:space="preserve"> T cell re-stimulation staining. D. Gating strategy for germinal center B cell staining.</w:t>
      </w: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  <w:r>
        <w:rPr>
          <w:noProof/>
          <w:lang w:val="nl-NL" w:eastAsia="nl-NL"/>
        </w:rPr>
        <w:lastRenderedPageBreak/>
        <w:drawing>
          <wp:inline distT="0" distB="0" distL="0" distR="0" wp14:anchorId="4E0AC1A7" wp14:editId="39A9D0BC">
            <wp:extent cx="3026670" cy="1414275"/>
            <wp:effectExtent l="0" t="0" r="254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26670" cy="141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524A" w:rsidRPr="00333EB3" w:rsidRDefault="003B524A" w:rsidP="003B524A">
      <w:pPr>
        <w:pStyle w:val="Geenafstand"/>
        <w:spacing w:line="276" w:lineRule="auto"/>
        <w:jc w:val="both"/>
        <w:rPr>
          <w:rFonts w:cs="Arial"/>
          <w:highlight w:val="yellow"/>
          <w:lang w:val="en-US"/>
        </w:rPr>
      </w:pP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  <w:r w:rsidRPr="00397853">
        <w:rPr>
          <w:rFonts w:cs="Arial"/>
          <w:b/>
          <w:lang w:val="en-US"/>
        </w:rPr>
        <w:t xml:space="preserve">Supplementary Figure 5. </w:t>
      </w:r>
      <w:r w:rsidRPr="00397853">
        <w:rPr>
          <w:rFonts w:cs="Arial"/>
          <w:lang w:val="en-US"/>
        </w:rPr>
        <w:t xml:space="preserve">GM3 liposomes </w:t>
      </w:r>
      <w:r>
        <w:rPr>
          <w:rFonts w:cs="Arial"/>
          <w:lang w:val="en-US"/>
        </w:rPr>
        <w:t xml:space="preserve">induce potent B cell responses </w:t>
      </w:r>
      <w:r w:rsidRPr="00397853">
        <w:rPr>
          <w:rFonts w:cs="Arial"/>
          <w:lang w:val="en-US"/>
        </w:rPr>
        <w:t>in presenc</w:t>
      </w:r>
      <w:r w:rsidR="00B508D7">
        <w:rPr>
          <w:rFonts w:cs="Arial"/>
          <w:lang w:val="en-US"/>
        </w:rPr>
        <w:t xml:space="preserve">e of adjuvant, related to </w:t>
      </w:r>
      <w:r w:rsidR="0046664E" w:rsidRPr="0046664E">
        <w:rPr>
          <w:rFonts w:cs="Arial"/>
          <w:lang w:val="en-US"/>
        </w:rPr>
        <w:t>Fig. 4.</w:t>
      </w:r>
      <w:r w:rsidR="0046664E">
        <w:rPr>
          <w:rFonts w:cs="Arial"/>
          <w:lang w:val="en-US"/>
        </w:rPr>
        <w:t xml:space="preserve"> </w:t>
      </w:r>
      <w:r w:rsidR="0046664E" w:rsidRPr="00397853">
        <w:rPr>
          <w:rFonts w:cs="Arial"/>
          <w:lang w:val="en-US"/>
        </w:rPr>
        <w:t xml:space="preserve"> </w:t>
      </w:r>
      <w:r w:rsidRPr="00397853">
        <w:rPr>
          <w:rFonts w:cs="Arial"/>
          <w:lang w:val="en-US"/>
        </w:rPr>
        <w:t>Serum titer of OVA-specific IgG and IgM determined</w:t>
      </w:r>
      <w:r>
        <w:rPr>
          <w:rFonts w:cs="Arial"/>
          <w:lang w:val="en-US"/>
        </w:rPr>
        <w:t xml:space="preserve"> on day 7 </w:t>
      </w:r>
      <w:proofErr w:type="spellStart"/>
      <w:r>
        <w:rPr>
          <w:rFonts w:cs="Arial"/>
          <w:lang w:val="en-US"/>
        </w:rPr>
        <w:t>p.i</w:t>
      </w:r>
      <w:proofErr w:type="spellEnd"/>
      <w:r>
        <w:rPr>
          <w:rFonts w:cs="Arial"/>
          <w:lang w:val="en-US"/>
        </w:rPr>
        <w:t>.</w:t>
      </w:r>
      <w:r w:rsidRPr="00397853">
        <w:rPr>
          <w:rFonts w:cs="Arial"/>
          <w:lang w:val="en-US"/>
        </w:rPr>
        <w:t xml:space="preserve"> by ELISA. The data are from one experiment, n</w:t>
      </w:r>
      <w:r w:rsidR="00BB3F82">
        <w:rPr>
          <w:rFonts w:cs="Arial"/>
          <w:lang w:val="en-US"/>
        </w:rPr>
        <w:t xml:space="preserve"> </w:t>
      </w:r>
      <w:r w:rsidRPr="00397853">
        <w:rPr>
          <w:rFonts w:cs="Arial"/>
          <w:lang w:val="en-US"/>
        </w:rPr>
        <w:t>=</w:t>
      </w:r>
      <w:r w:rsidR="00BB3F82">
        <w:rPr>
          <w:rFonts w:cs="Arial"/>
          <w:lang w:val="en-US"/>
        </w:rPr>
        <w:t xml:space="preserve"> </w:t>
      </w:r>
      <w:r w:rsidRPr="00397853">
        <w:rPr>
          <w:rFonts w:cs="Arial"/>
          <w:lang w:val="en-US"/>
        </w:rPr>
        <w:t xml:space="preserve">4. Each symbol represents one mouse. </w:t>
      </w:r>
      <w:r w:rsidRPr="00397853">
        <w:rPr>
          <w:lang w:val="en-US"/>
        </w:rPr>
        <w:t>Error bars indicate mean ± SEM.</w:t>
      </w:r>
      <w:r>
        <w:rPr>
          <w:rFonts w:cs="Arial"/>
          <w:lang w:val="en-US"/>
        </w:rPr>
        <w:t xml:space="preserve"> *p &lt; 0.05, **p &lt; 0.01</w:t>
      </w:r>
      <w:r w:rsidRPr="00397853">
        <w:rPr>
          <w:rFonts w:cs="Arial"/>
          <w:lang w:val="en-US"/>
        </w:rPr>
        <w:t xml:space="preserve"> (one-way ANOVA with </w:t>
      </w:r>
      <w:proofErr w:type="spellStart"/>
      <w:r w:rsidRPr="00397853">
        <w:rPr>
          <w:rFonts w:cs="Arial"/>
          <w:lang w:val="en-US"/>
        </w:rPr>
        <w:t>Bonferroni’s</w:t>
      </w:r>
      <w:proofErr w:type="spellEnd"/>
      <w:r w:rsidRPr="00397853">
        <w:rPr>
          <w:rFonts w:cs="Arial"/>
          <w:lang w:val="en-US"/>
        </w:rPr>
        <w:t xml:space="preserve"> multiple comparison test).</w:t>
      </w: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  <w:r>
        <w:rPr>
          <w:noProof/>
          <w:lang w:val="nl-NL" w:eastAsia="nl-NL"/>
        </w:rPr>
        <w:drawing>
          <wp:inline distT="0" distB="0" distL="0" distR="0" wp14:anchorId="097CCCB0" wp14:editId="4C55C7F8">
            <wp:extent cx="4020320" cy="2798070"/>
            <wp:effectExtent l="0" t="0" r="0" b="254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20320" cy="2798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524A" w:rsidRDefault="003B524A" w:rsidP="003B524A">
      <w:pPr>
        <w:jc w:val="both"/>
        <w:rPr>
          <w:rFonts w:cs="Arial"/>
          <w:lang w:val="en-US"/>
        </w:rPr>
      </w:pPr>
      <w:r w:rsidRPr="00397853">
        <w:rPr>
          <w:rFonts w:cs="Arial"/>
          <w:b/>
          <w:lang w:val="en-US"/>
        </w:rPr>
        <w:t>Supplementary</w:t>
      </w:r>
      <w:r>
        <w:rPr>
          <w:rFonts w:cs="Arial"/>
          <w:b/>
          <w:lang w:val="en-US"/>
        </w:rPr>
        <w:t xml:space="preserve"> Figure 6</w:t>
      </w:r>
      <w:r w:rsidRPr="00397853">
        <w:rPr>
          <w:rFonts w:cs="Arial"/>
          <w:b/>
          <w:lang w:val="en-US"/>
        </w:rPr>
        <w:t>.</w:t>
      </w:r>
      <w:r>
        <w:rPr>
          <w:rFonts w:cs="Arial"/>
          <w:b/>
          <w:lang w:val="en-US"/>
        </w:rPr>
        <w:t xml:space="preserve"> </w:t>
      </w:r>
      <w:r>
        <w:rPr>
          <w:rFonts w:cs="Arial"/>
          <w:lang w:val="en-US"/>
        </w:rPr>
        <w:t>Enhanced immune-activating potential of liposome-encapsulated antigen</w:t>
      </w:r>
      <w:r w:rsidR="00B508D7">
        <w:rPr>
          <w:rFonts w:cs="Arial"/>
          <w:lang w:val="en-US"/>
        </w:rPr>
        <w:t xml:space="preserve">, related to </w:t>
      </w:r>
      <w:r w:rsidR="0046664E" w:rsidRPr="0046664E">
        <w:rPr>
          <w:rFonts w:cs="Arial"/>
          <w:lang w:val="en-US"/>
        </w:rPr>
        <w:t>Fig. 4.</w:t>
      </w:r>
      <w:r w:rsidR="0046664E">
        <w:rPr>
          <w:rFonts w:cs="Arial"/>
          <w:lang w:val="en-US"/>
        </w:rPr>
        <w:t xml:space="preserve"> </w:t>
      </w:r>
      <w:r>
        <w:rPr>
          <w:rFonts w:cs="Arial"/>
          <w:lang w:val="en-US"/>
        </w:rPr>
        <w:t>A. Percentage of H-2K</w:t>
      </w:r>
      <w:r w:rsidRPr="001D0047">
        <w:rPr>
          <w:rFonts w:cs="Arial"/>
          <w:vertAlign w:val="superscript"/>
          <w:lang w:val="en-US"/>
        </w:rPr>
        <w:t>b</w:t>
      </w:r>
      <w:r>
        <w:rPr>
          <w:rFonts w:cs="Arial"/>
          <w:lang w:val="en-US"/>
        </w:rPr>
        <w:t>-SIINFEKL-tetramer</w:t>
      </w:r>
      <w:r w:rsidRPr="004F0B44">
        <w:rPr>
          <w:rFonts w:cs="Arial"/>
          <w:vertAlign w:val="superscript"/>
          <w:lang w:val="en-US"/>
        </w:rPr>
        <w:t>+</w:t>
      </w:r>
      <w:r>
        <w:rPr>
          <w:rFonts w:cs="Arial"/>
          <w:lang w:val="en-US"/>
        </w:rPr>
        <w:t xml:space="preserve"> CD8</w:t>
      </w:r>
      <w:r w:rsidRPr="004F0B44">
        <w:rPr>
          <w:rFonts w:cs="Arial"/>
          <w:vertAlign w:val="superscript"/>
          <w:lang w:val="en-US"/>
        </w:rPr>
        <w:t>+</w:t>
      </w:r>
      <w:r>
        <w:rPr>
          <w:rFonts w:cs="Arial"/>
          <w:lang w:val="en-US"/>
        </w:rPr>
        <w:t xml:space="preserve"> T cells and percentage of OVA-specific </w:t>
      </w:r>
      <w:proofErr w:type="spellStart"/>
      <w:r>
        <w:rPr>
          <w:lang w:val="en-US"/>
        </w:rPr>
        <w:t>IFN</w:t>
      </w:r>
      <w:r w:rsidRPr="005B568D">
        <w:rPr>
          <w:lang w:val="en-US"/>
        </w:rPr>
        <w:t>γ</w:t>
      </w:r>
      <w:proofErr w:type="spellEnd"/>
      <w:r>
        <w:rPr>
          <w:rFonts w:cs="Arial"/>
          <w:lang w:val="en-US"/>
        </w:rPr>
        <w:t>-producing CD8</w:t>
      </w:r>
      <w:r w:rsidRPr="004F0B44">
        <w:rPr>
          <w:rFonts w:cs="Arial"/>
          <w:vertAlign w:val="superscript"/>
          <w:lang w:val="en-US"/>
        </w:rPr>
        <w:t>+</w:t>
      </w:r>
      <w:r>
        <w:rPr>
          <w:rFonts w:cs="Arial"/>
          <w:lang w:val="en-US"/>
        </w:rPr>
        <w:t xml:space="preserve"> T cells. B. Percentage of OVA-specific </w:t>
      </w:r>
      <w:proofErr w:type="spellStart"/>
      <w:r>
        <w:rPr>
          <w:lang w:val="en-US"/>
        </w:rPr>
        <w:t>IFN</w:t>
      </w:r>
      <w:r w:rsidRPr="005B568D">
        <w:rPr>
          <w:lang w:val="en-US"/>
        </w:rPr>
        <w:t>γ</w:t>
      </w:r>
      <w:proofErr w:type="spellEnd"/>
      <w:r>
        <w:rPr>
          <w:rFonts w:cs="Arial"/>
          <w:lang w:val="en-US"/>
        </w:rPr>
        <w:t>-producing  CD4</w:t>
      </w:r>
      <w:r w:rsidRPr="004F0B44">
        <w:rPr>
          <w:rFonts w:cs="Arial"/>
          <w:vertAlign w:val="superscript"/>
          <w:lang w:val="en-US"/>
        </w:rPr>
        <w:t>+</w:t>
      </w:r>
      <w:r>
        <w:rPr>
          <w:rFonts w:cs="Arial"/>
          <w:lang w:val="en-US"/>
        </w:rPr>
        <w:t xml:space="preserve"> T cells after </w:t>
      </w:r>
      <w:r>
        <w:rPr>
          <w:rFonts w:cs="Arial"/>
          <w:i/>
          <w:lang w:val="en-US"/>
        </w:rPr>
        <w:t xml:space="preserve">in vitro </w:t>
      </w:r>
      <w:r>
        <w:rPr>
          <w:rFonts w:cs="Arial"/>
          <w:lang w:val="en-US"/>
        </w:rPr>
        <w:t>re-challenge. C. Percentage of OVA-specific germinal center B cells. Immune responses in the spleen determined on day 7 by flow cytometry. The data are from one experiment, n</w:t>
      </w:r>
      <w:r w:rsidR="00BB3F82">
        <w:rPr>
          <w:rFonts w:cs="Arial"/>
          <w:lang w:val="en-US"/>
        </w:rPr>
        <w:t xml:space="preserve"> </w:t>
      </w:r>
      <w:r>
        <w:rPr>
          <w:rFonts w:cs="Arial"/>
          <w:lang w:val="en-US"/>
        </w:rPr>
        <w:t>=</w:t>
      </w:r>
      <w:r w:rsidR="00BB3F82">
        <w:rPr>
          <w:rFonts w:cs="Arial"/>
          <w:lang w:val="en-US"/>
        </w:rPr>
        <w:t xml:space="preserve"> </w:t>
      </w:r>
      <w:r>
        <w:rPr>
          <w:rFonts w:cs="Arial"/>
          <w:lang w:val="en-US"/>
        </w:rPr>
        <w:t xml:space="preserve">5. Each symbol represents one mouse. </w:t>
      </w:r>
      <w:r w:rsidRPr="00C379AE">
        <w:rPr>
          <w:lang w:val="en-US"/>
        </w:rPr>
        <w:t>Error bars indicate mean ± SEM.</w:t>
      </w:r>
      <w:r>
        <w:rPr>
          <w:rFonts w:cs="Arial"/>
          <w:lang w:val="en-US"/>
        </w:rPr>
        <w:t xml:space="preserve"> *p &lt; 0.05, **p &lt; 0.01</w:t>
      </w:r>
      <w:r w:rsidRPr="00C379AE">
        <w:rPr>
          <w:rFonts w:cs="Arial"/>
          <w:lang w:val="en-US"/>
        </w:rPr>
        <w:t xml:space="preserve"> (one-way ANOVA</w:t>
      </w:r>
      <w:r>
        <w:rPr>
          <w:rFonts w:cs="Arial"/>
          <w:lang w:val="en-US"/>
        </w:rPr>
        <w:t xml:space="preserve"> </w:t>
      </w:r>
      <w:r w:rsidRPr="00C379AE">
        <w:rPr>
          <w:rFonts w:cs="Arial"/>
          <w:lang w:val="en-US"/>
        </w:rPr>
        <w:t xml:space="preserve">with </w:t>
      </w:r>
      <w:proofErr w:type="spellStart"/>
      <w:r w:rsidRPr="00C379AE">
        <w:rPr>
          <w:rFonts w:cs="Arial"/>
          <w:lang w:val="en-US"/>
        </w:rPr>
        <w:t>Bonferroni’s</w:t>
      </w:r>
      <w:proofErr w:type="spellEnd"/>
      <w:r w:rsidRPr="00C379AE">
        <w:rPr>
          <w:rFonts w:cs="Arial"/>
          <w:lang w:val="en-US"/>
        </w:rPr>
        <w:t xml:space="preserve"> multiple comparison test).</w:t>
      </w:r>
    </w:p>
    <w:p w:rsidR="003B524A" w:rsidRDefault="003B524A" w:rsidP="003B524A">
      <w:pPr>
        <w:jc w:val="both"/>
        <w:rPr>
          <w:rFonts w:cs="Arial"/>
          <w:lang w:val="en-US"/>
        </w:rPr>
      </w:pPr>
    </w:p>
    <w:p w:rsidR="003B524A" w:rsidRDefault="003B524A" w:rsidP="003B524A">
      <w:pPr>
        <w:jc w:val="both"/>
        <w:rPr>
          <w:rFonts w:cs="Arial"/>
          <w:lang w:val="en-US"/>
        </w:rPr>
      </w:pPr>
      <w:r>
        <w:rPr>
          <w:noProof/>
          <w:lang w:eastAsia="nl-NL"/>
        </w:rPr>
        <w:lastRenderedPageBreak/>
        <w:drawing>
          <wp:inline distT="0" distB="0" distL="0" distR="0" wp14:anchorId="0887B887" wp14:editId="714E51DB">
            <wp:extent cx="4282449" cy="3325375"/>
            <wp:effectExtent l="0" t="0" r="3810" b="889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282449" cy="332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  <w:r w:rsidRPr="00397853">
        <w:rPr>
          <w:rFonts w:cs="Arial"/>
          <w:b/>
          <w:lang w:val="en-US"/>
        </w:rPr>
        <w:t>Supplementary</w:t>
      </w:r>
      <w:r>
        <w:rPr>
          <w:rFonts w:cs="Arial"/>
          <w:b/>
          <w:lang w:val="en-US"/>
        </w:rPr>
        <w:t xml:space="preserve"> Figure 7. </w:t>
      </w:r>
      <w:r>
        <w:rPr>
          <w:rFonts w:cs="Arial"/>
          <w:lang w:val="en-US"/>
        </w:rPr>
        <w:t>Targeting and non-targeting liposomes delay tumor outgrowth in B16-OV</w:t>
      </w:r>
      <w:r w:rsidR="00B508D7">
        <w:rPr>
          <w:rFonts w:cs="Arial"/>
          <w:lang w:val="en-US"/>
        </w:rPr>
        <w:t xml:space="preserve">A tumor model, related to </w:t>
      </w:r>
      <w:r w:rsidR="0046664E" w:rsidRPr="0046664E">
        <w:rPr>
          <w:rFonts w:cs="Arial"/>
          <w:lang w:val="en-US"/>
        </w:rPr>
        <w:t>Fig. 5</w:t>
      </w:r>
      <w:r w:rsidR="0046664E">
        <w:rPr>
          <w:rFonts w:cs="Arial"/>
          <w:lang w:val="en-US"/>
        </w:rPr>
        <w:t xml:space="preserve">. </w:t>
      </w:r>
      <w:r>
        <w:rPr>
          <w:rFonts w:cs="Arial"/>
          <w:lang w:val="en-US"/>
        </w:rPr>
        <w:t>A-D Tumor growth curves determined by size measurements performed three times per week until day 39 using a caliper. Each line represents individual mouse.</w:t>
      </w: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highlight w:val="yellow"/>
          <w:lang w:val="en-US"/>
        </w:rPr>
      </w:pPr>
      <w:r>
        <w:rPr>
          <w:noProof/>
          <w:lang w:val="nl-NL" w:eastAsia="nl-NL"/>
        </w:rPr>
        <w:lastRenderedPageBreak/>
        <w:drawing>
          <wp:inline distT="0" distB="0" distL="0" distR="0" wp14:anchorId="56EDD686" wp14:editId="5E08FAC0">
            <wp:extent cx="3621031" cy="5029210"/>
            <wp:effectExtent l="0" t="0" r="0" b="0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621031" cy="5029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  <w:r w:rsidRPr="00397853">
        <w:rPr>
          <w:rFonts w:cs="Arial"/>
          <w:b/>
          <w:lang w:val="en-US"/>
        </w:rPr>
        <w:t>Supplementary</w:t>
      </w:r>
      <w:r>
        <w:rPr>
          <w:rFonts w:cs="Arial"/>
          <w:b/>
          <w:lang w:val="en-US"/>
        </w:rPr>
        <w:t xml:space="preserve"> Figure 8. </w:t>
      </w:r>
      <w:r>
        <w:rPr>
          <w:rFonts w:cs="Arial"/>
          <w:lang w:val="en-US"/>
        </w:rPr>
        <w:t xml:space="preserve">Depletion of CD169-expressing cells in the spleen of DT-treated </w:t>
      </w:r>
      <w:r w:rsidR="00B508D7">
        <w:rPr>
          <w:rFonts w:cs="Arial"/>
          <w:lang w:val="en-US"/>
        </w:rPr>
        <w:t xml:space="preserve">CD169-DTR mice, related to </w:t>
      </w:r>
      <w:r w:rsidR="0046664E" w:rsidRPr="0046664E">
        <w:rPr>
          <w:rFonts w:cs="Arial"/>
          <w:lang w:val="en-US"/>
        </w:rPr>
        <w:t>Fig. 6.</w:t>
      </w:r>
      <w:r w:rsidR="0046664E">
        <w:rPr>
          <w:rFonts w:cs="Arial"/>
          <w:lang w:val="en-US"/>
        </w:rPr>
        <w:t xml:space="preserve"> </w:t>
      </w:r>
      <w:r>
        <w:rPr>
          <w:rFonts w:cs="Arial"/>
          <w:lang w:val="en-US"/>
        </w:rPr>
        <w:t>A. Microscopic analysis. B. Quantification of CD169</w:t>
      </w:r>
      <w:r w:rsidRPr="00323FCA">
        <w:rPr>
          <w:rFonts w:cs="Arial"/>
          <w:vertAlign w:val="superscript"/>
          <w:lang w:val="en-US"/>
        </w:rPr>
        <w:t>+</w:t>
      </w:r>
      <w:r>
        <w:rPr>
          <w:rFonts w:cs="Arial"/>
          <w:lang w:val="en-US"/>
        </w:rPr>
        <w:t xml:space="preserve"> macrophages determined by flow cytometry (left). Representative flow cytometry plots used for identification of CD169</w:t>
      </w:r>
      <w:r w:rsidRPr="00323FCA">
        <w:rPr>
          <w:rFonts w:cs="Arial"/>
          <w:vertAlign w:val="superscript"/>
          <w:lang w:val="en-US"/>
        </w:rPr>
        <w:t>+</w:t>
      </w:r>
      <w:r>
        <w:rPr>
          <w:rFonts w:cs="Arial"/>
          <w:lang w:val="en-US"/>
        </w:rPr>
        <w:t xml:space="preserve"> macrophages (right). C. Frequency of splenic cell subsets determined by flow cytometry. </w:t>
      </w:r>
      <w:r w:rsidRPr="00005BB8">
        <w:rPr>
          <w:rFonts w:cs="Arial"/>
          <w:lang w:val="en-US"/>
        </w:rPr>
        <w:t>Th</w:t>
      </w:r>
      <w:r>
        <w:rPr>
          <w:rFonts w:cs="Arial"/>
          <w:lang w:val="en-US"/>
        </w:rPr>
        <w:t>e data are from one experiment</w:t>
      </w:r>
      <w:r w:rsidR="00A84E43">
        <w:rPr>
          <w:rFonts w:cs="Arial"/>
          <w:lang w:val="en-US"/>
        </w:rPr>
        <w:t>, n = 5</w:t>
      </w:r>
      <w:bookmarkStart w:id="4" w:name="_GoBack"/>
      <w:bookmarkEnd w:id="4"/>
      <w:r w:rsidRPr="00005BB8">
        <w:rPr>
          <w:rFonts w:cs="Arial"/>
          <w:lang w:val="en-US"/>
        </w:rPr>
        <w:t xml:space="preserve">. </w:t>
      </w:r>
      <w:r>
        <w:rPr>
          <w:rFonts w:cs="Arial"/>
          <w:lang w:val="en-US"/>
        </w:rPr>
        <w:t xml:space="preserve">Each symbol represents one mouse. </w:t>
      </w:r>
      <w:r w:rsidRPr="00005BB8">
        <w:rPr>
          <w:lang w:val="en-US"/>
        </w:rPr>
        <w:t>Error bars indicate mean ± SEM.</w:t>
      </w:r>
      <w:r w:rsidRPr="00005BB8">
        <w:rPr>
          <w:rFonts w:cs="Arial"/>
          <w:lang w:val="en-US"/>
        </w:rPr>
        <w:t xml:space="preserve"> *p &lt; 0.05, **p &lt; 0.01, (one-way ANOVA with </w:t>
      </w:r>
      <w:proofErr w:type="spellStart"/>
      <w:r w:rsidRPr="00005BB8">
        <w:rPr>
          <w:rFonts w:cs="Arial"/>
          <w:lang w:val="en-US"/>
        </w:rPr>
        <w:t>Bonferroni’s</w:t>
      </w:r>
      <w:proofErr w:type="spellEnd"/>
      <w:r w:rsidRPr="00005BB8">
        <w:rPr>
          <w:rFonts w:cs="Arial"/>
          <w:lang w:val="en-US"/>
        </w:rPr>
        <w:t xml:space="preserve"> multiple comparison test).</w:t>
      </w:r>
    </w:p>
    <w:p w:rsidR="003B524A" w:rsidRPr="00743517" w:rsidRDefault="003B524A" w:rsidP="003B524A">
      <w:pPr>
        <w:pStyle w:val="Geenafstand"/>
        <w:spacing w:line="276" w:lineRule="auto"/>
        <w:jc w:val="both"/>
        <w:rPr>
          <w:rFonts w:cs="Arial"/>
          <w:highlight w:val="yellow"/>
          <w:lang w:val="en-US"/>
        </w:rPr>
      </w:pPr>
    </w:p>
    <w:p w:rsidR="003B524A" w:rsidRDefault="003B524A" w:rsidP="003B524A">
      <w:pPr>
        <w:jc w:val="both"/>
        <w:rPr>
          <w:rFonts w:cs="Arial"/>
          <w:lang w:val="en-US"/>
        </w:rPr>
      </w:pPr>
    </w:p>
    <w:p w:rsidR="003B524A" w:rsidRPr="00397853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</w:p>
    <w:p w:rsidR="003B524A" w:rsidRDefault="003B524A" w:rsidP="003B524A">
      <w:pPr>
        <w:pStyle w:val="Geenafstand"/>
        <w:spacing w:line="276" w:lineRule="auto"/>
        <w:jc w:val="both"/>
        <w:rPr>
          <w:rFonts w:cs="Arial"/>
          <w:lang w:val="en-US"/>
        </w:rPr>
      </w:pPr>
    </w:p>
    <w:p w:rsidR="003B524A" w:rsidRPr="001642C6" w:rsidRDefault="003B524A" w:rsidP="00AE50A4">
      <w:pPr>
        <w:pStyle w:val="Geenafstand"/>
        <w:spacing w:line="276" w:lineRule="auto"/>
        <w:jc w:val="both"/>
        <w:rPr>
          <w:rFonts w:cs="Arial"/>
          <w:lang w:val="en-US"/>
        </w:rPr>
      </w:pPr>
    </w:p>
    <w:p w:rsidR="00AE50A4" w:rsidRPr="00AE50A4" w:rsidRDefault="00AE50A4">
      <w:pPr>
        <w:rPr>
          <w:b/>
          <w:lang w:val="en-US"/>
        </w:rPr>
      </w:pPr>
    </w:p>
    <w:sectPr w:rsidR="00AE50A4" w:rsidRPr="00AE50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3FD"/>
    <w:rsid w:val="001C4467"/>
    <w:rsid w:val="003B524A"/>
    <w:rsid w:val="00424B33"/>
    <w:rsid w:val="0046664E"/>
    <w:rsid w:val="00504F34"/>
    <w:rsid w:val="005305CC"/>
    <w:rsid w:val="007E774E"/>
    <w:rsid w:val="008B5E4F"/>
    <w:rsid w:val="008F0899"/>
    <w:rsid w:val="00A473FD"/>
    <w:rsid w:val="00A84E43"/>
    <w:rsid w:val="00AE50A4"/>
    <w:rsid w:val="00B508D7"/>
    <w:rsid w:val="00BB3F82"/>
    <w:rsid w:val="00D75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4532F"/>
  <w15:chartTrackingRefBased/>
  <w15:docId w15:val="{87E25FB1-4933-41F9-85FD-59C8C505B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link w:val="GeenafstandChar"/>
    <w:uiPriority w:val="1"/>
    <w:qFormat/>
    <w:rsid w:val="00AE50A4"/>
    <w:pPr>
      <w:spacing w:after="0" w:line="240" w:lineRule="auto"/>
    </w:pPr>
    <w:rPr>
      <w:lang w:val="en-GB"/>
    </w:rPr>
  </w:style>
  <w:style w:type="character" w:customStyle="1" w:styleId="GeenafstandChar">
    <w:name w:val="Geen afstand Char"/>
    <w:basedOn w:val="Standaardalinea-lettertype"/>
    <w:link w:val="Geenafstand"/>
    <w:uiPriority w:val="1"/>
    <w:rsid w:val="00AE50A4"/>
    <w:rPr>
      <w:lang w:val="en-GB"/>
    </w:rPr>
  </w:style>
  <w:style w:type="paragraph" w:customStyle="1" w:styleId="StyleStyleJustifiedFirstline125cm">
    <w:name w:val="Style Style Justified + First line:  125 cm"/>
    <w:basedOn w:val="Standaard"/>
    <w:rsid w:val="003B524A"/>
    <w:pPr>
      <w:spacing w:after="0" w:line="480" w:lineRule="auto"/>
      <w:ind w:firstLine="708"/>
    </w:pPr>
    <w:rPr>
      <w:rFonts w:ascii="Arial" w:eastAsia="Times New Roman" w:hAnsi="Arial" w:cs="Times New Roman"/>
      <w:sz w:val="20"/>
      <w:szCs w:val="20"/>
      <w:lang w:val="en-GB"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1C44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C44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903</Words>
  <Characters>4970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VUmc</Company>
  <LinksUpToDate>false</LinksUpToDate>
  <CharactersWithSpaces>5862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Grabowska, J. (Joanna)</dc:creator>
  <cp:keywords/>
  <dc:description/>
  <cp:lastModifiedBy>Grabowska, J. (Joanna)</cp:lastModifiedBy>
  <cp:revision>2</cp:revision>
  <dcterms:created xsi:type="dcterms:W3CDTF">2021-01-22T15:46:00Z</dcterms:created>
  <dcterms:modified xsi:type="dcterms:W3CDTF">2021-01-22T15:46:00Z</dcterms:modified>
</cp:coreProperties>
</file>