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9DE46D" w14:textId="77777777" w:rsidR="00B6484E" w:rsidRPr="008F68A8" w:rsidRDefault="00E233BF">
      <w:pPr>
        <w:rPr>
          <w:rFonts w:ascii="Arial" w:hAnsi="Arial" w:cs="Arial"/>
          <w:sz w:val="36"/>
          <w:szCs w:val="36"/>
          <w:lang w:val="en-US"/>
        </w:rPr>
      </w:pPr>
      <w:r w:rsidRPr="008F68A8">
        <w:rPr>
          <w:rFonts w:ascii="Arial" w:hAnsi="Arial" w:cs="Arial"/>
          <w:sz w:val="36"/>
          <w:szCs w:val="36"/>
          <w:lang w:val="en-US"/>
        </w:rPr>
        <w:t>Supplementary Information</w:t>
      </w:r>
      <w:bookmarkStart w:id="0" w:name="_GoBack"/>
      <w:bookmarkEnd w:id="0"/>
    </w:p>
    <w:p w14:paraId="5E51071B" w14:textId="77777777" w:rsidR="00E233BF" w:rsidRPr="008F68A8" w:rsidRDefault="00E233BF">
      <w:pPr>
        <w:rPr>
          <w:rFonts w:ascii="Arial" w:hAnsi="Arial" w:cs="Arial"/>
          <w:sz w:val="36"/>
          <w:szCs w:val="36"/>
          <w:lang w:val="en-US"/>
        </w:rPr>
      </w:pPr>
    </w:p>
    <w:p w14:paraId="658A8B05" w14:textId="77777777" w:rsidR="00E233BF" w:rsidRPr="008F68A8" w:rsidRDefault="00E233BF">
      <w:pPr>
        <w:rPr>
          <w:rFonts w:ascii="Arial" w:hAnsi="Arial" w:cs="Arial"/>
          <w:sz w:val="36"/>
          <w:szCs w:val="36"/>
          <w:lang w:val="en-US"/>
        </w:rPr>
      </w:pPr>
    </w:p>
    <w:p w14:paraId="0F043475" w14:textId="77777777" w:rsidR="00E233BF" w:rsidRPr="00F94230" w:rsidRDefault="00E233BF" w:rsidP="00E233BF">
      <w:pPr>
        <w:spacing w:line="360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F94230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Motif WFYY of human PrimPol is crucial to stabilize the incoming 3´-nucleotide during replication fork restart</w:t>
      </w:r>
    </w:p>
    <w:p w14:paraId="2F5D26B9" w14:textId="77777777" w:rsidR="00E233BF" w:rsidRPr="005C6228" w:rsidRDefault="00E233BF" w:rsidP="00E233BF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23A36638" w14:textId="77777777" w:rsidR="00E233BF" w:rsidRPr="005C6228" w:rsidRDefault="00E233BF" w:rsidP="00E233BF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551F0621" w14:textId="36AF9EF8" w:rsidR="008F68A8" w:rsidRPr="00C03139" w:rsidRDefault="008F68A8" w:rsidP="008F68A8">
      <w:pPr>
        <w:jc w:val="both"/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</w:pP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Patricia A. Calvo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1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María I. Martínez-Jiménez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1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Marcos Díaz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2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Gorazd Stojkovic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3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Kazutoshi Kasho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3</w:t>
      </w:r>
      <w:proofErr w:type="gramStart"/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,4</w:t>
      </w:r>
      <w:proofErr w:type="gramEnd"/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Susana Guerra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1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Sjoerd Wanrooij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3*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>, Juan Méndez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2*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lang w:val="es-ES"/>
        </w:rPr>
        <w:t xml:space="preserve"> and Luis Blanco</w:t>
      </w:r>
      <w:r w:rsidRPr="00C03139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s-ES"/>
        </w:rPr>
        <w:t>1*</w:t>
      </w:r>
    </w:p>
    <w:p w14:paraId="223AF110" w14:textId="77777777" w:rsidR="008F68A8" w:rsidRPr="00C03139" w:rsidRDefault="008F68A8" w:rsidP="008F68A8">
      <w:pPr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4A3EBAD1" w14:textId="77777777" w:rsidR="008F68A8" w:rsidRPr="00C03139" w:rsidRDefault="008F68A8" w:rsidP="008F68A8">
      <w:pPr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6391D31E" w14:textId="77777777" w:rsidR="008F68A8" w:rsidRPr="009D3E44" w:rsidRDefault="008F68A8" w:rsidP="008F68A8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D3E44">
        <w:rPr>
          <w:rFonts w:ascii="Arial" w:hAnsi="Arial" w:cs="Arial"/>
          <w:color w:val="000000" w:themeColor="text1"/>
          <w:sz w:val="22"/>
          <w:szCs w:val="22"/>
          <w:vertAlign w:val="superscript"/>
        </w:rPr>
        <w:t xml:space="preserve">1 </w:t>
      </w:r>
      <w:r w:rsidRPr="009D3E44">
        <w:rPr>
          <w:rFonts w:ascii="Arial" w:hAnsi="Arial" w:cs="Arial"/>
          <w:color w:val="000000" w:themeColor="text1"/>
          <w:sz w:val="22"/>
          <w:szCs w:val="22"/>
        </w:rPr>
        <w:t xml:space="preserve">Centro de Biología Molecular Severo Ochoa, CSIC-UAM, 28049, Madrid, Spain. </w:t>
      </w:r>
    </w:p>
    <w:p w14:paraId="6C5D1504" w14:textId="77777777" w:rsidR="008F68A8" w:rsidRPr="009D3E44" w:rsidRDefault="008F68A8" w:rsidP="008F68A8">
      <w:pPr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D3E44">
        <w:rPr>
          <w:rFonts w:ascii="Arial" w:hAnsi="Arial" w:cs="Arial"/>
          <w:color w:val="000000" w:themeColor="text1"/>
          <w:sz w:val="22"/>
          <w:szCs w:val="22"/>
          <w:vertAlign w:val="superscript"/>
          <w:lang w:val="en-US"/>
        </w:rPr>
        <w:t>2</w:t>
      </w:r>
      <w:r w:rsidRPr="009D3E4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Spanish National Cancer Centre (CNIO), 28029, Madrid, Spain.</w:t>
      </w:r>
    </w:p>
    <w:p w14:paraId="49FC229A" w14:textId="77777777" w:rsidR="008F68A8" w:rsidRPr="009D3E44" w:rsidRDefault="008F68A8" w:rsidP="008F68A8">
      <w:pPr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9D3E44">
        <w:rPr>
          <w:rFonts w:ascii="Arial" w:hAnsi="Arial" w:cs="Arial"/>
          <w:color w:val="000000" w:themeColor="text1"/>
          <w:sz w:val="22"/>
          <w:szCs w:val="22"/>
          <w:vertAlign w:val="superscript"/>
          <w:lang w:val="en-US"/>
        </w:rPr>
        <w:t xml:space="preserve">3 </w:t>
      </w:r>
      <w:r w:rsidRPr="009D3E44">
        <w:rPr>
          <w:rFonts w:ascii="Arial" w:hAnsi="Arial" w:cs="Arial"/>
          <w:color w:val="000000" w:themeColor="text1"/>
          <w:sz w:val="22"/>
          <w:szCs w:val="22"/>
          <w:lang w:val="en-US"/>
        </w:rPr>
        <w:t>Department of Medical Biochemistry and Biophysics, Umeå University, Umeå, Sweden.</w:t>
      </w:r>
    </w:p>
    <w:p w14:paraId="68C85A5D" w14:textId="77777777" w:rsidR="008F68A8" w:rsidRPr="009D3E44" w:rsidRDefault="008F68A8" w:rsidP="008F68A8">
      <w:pPr>
        <w:rPr>
          <w:color w:val="000000" w:themeColor="text1"/>
          <w:sz w:val="22"/>
          <w:szCs w:val="22"/>
          <w:lang w:val="en-US" w:eastAsia="en-GB"/>
        </w:rPr>
      </w:pPr>
      <w:r w:rsidRPr="009D3E44">
        <w:rPr>
          <w:rFonts w:ascii="Arial" w:hAnsi="Arial" w:cs="Arial"/>
          <w:color w:val="000000" w:themeColor="text1"/>
          <w:sz w:val="22"/>
          <w:szCs w:val="22"/>
          <w:vertAlign w:val="superscript"/>
          <w:lang w:val="en-US"/>
        </w:rPr>
        <w:t>4</w:t>
      </w:r>
      <w:r w:rsidRPr="009D3E44">
        <w:rPr>
          <w:rFonts w:ascii="Arial" w:hAnsi="Arial" w:cs="Arial"/>
          <w:color w:val="000000" w:themeColor="text1"/>
          <w:sz w:val="22"/>
          <w:szCs w:val="22"/>
          <w:shd w:val="clear" w:color="auto" w:fill="FFFFFF"/>
          <w:lang w:val="en-US"/>
        </w:rPr>
        <w:t xml:space="preserve"> </w:t>
      </w:r>
      <w:r w:rsidRPr="009D3E44">
        <w:rPr>
          <w:rFonts w:ascii="Arial" w:hAnsi="Arial" w:cs="Arial"/>
          <w:color w:val="000000" w:themeColor="text1"/>
          <w:sz w:val="22"/>
          <w:szCs w:val="22"/>
          <w:shd w:val="clear" w:color="auto" w:fill="FFFFFF"/>
          <w:lang w:val="en-US" w:eastAsia="en-GB"/>
        </w:rPr>
        <w:t>Department of Molecular Biology, Graduate School of Pharmaceutical Sciences, Kyushu University, Fukuoka 812-8582, Japan.</w:t>
      </w:r>
    </w:p>
    <w:p w14:paraId="1CA51ED4" w14:textId="77777777" w:rsidR="00E233BF" w:rsidRPr="008F68A8" w:rsidRDefault="00E233BF">
      <w:pPr>
        <w:rPr>
          <w:rFonts w:ascii="Arial" w:hAnsi="Arial" w:cs="Arial"/>
          <w:sz w:val="36"/>
          <w:szCs w:val="36"/>
          <w:lang w:val="en-US"/>
        </w:rPr>
      </w:pPr>
    </w:p>
    <w:p w14:paraId="059C69F6" w14:textId="77777777" w:rsidR="00E233BF" w:rsidRPr="008F68A8" w:rsidRDefault="00E233BF">
      <w:pPr>
        <w:rPr>
          <w:lang w:val="en-US"/>
        </w:rPr>
      </w:pPr>
    </w:p>
    <w:p w14:paraId="5C99A5A8" w14:textId="77777777" w:rsidR="00E233BF" w:rsidRPr="008F68A8" w:rsidRDefault="00E233BF">
      <w:pPr>
        <w:rPr>
          <w:lang w:val="en-US"/>
        </w:rPr>
      </w:pPr>
    </w:p>
    <w:p w14:paraId="0D750D14" w14:textId="77777777" w:rsidR="00E233BF" w:rsidRPr="008F68A8" w:rsidRDefault="00E233BF">
      <w:pPr>
        <w:rPr>
          <w:lang w:val="en-US"/>
        </w:rPr>
      </w:pPr>
    </w:p>
    <w:p w14:paraId="5E837315" w14:textId="77777777" w:rsidR="00E233BF" w:rsidRPr="008F68A8" w:rsidRDefault="00E233BF">
      <w:pPr>
        <w:rPr>
          <w:lang w:val="en-US"/>
        </w:rPr>
      </w:pPr>
    </w:p>
    <w:p w14:paraId="73E2DD05" w14:textId="77777777" w:rsidR="00E233BF" w:rsidRPr="008F68A8" w:rsidRDefault="00E233BF">
      <w:pPr>
        <w:rPr>
          <w:lang w:val="en-US"/>
        </w:rPr>
      </w:pPr>
    </w:p>
    <w:p w14:paraId="6145F456" w14:textId="77777777" w:rsidR="00E233BF" w:rsidRPr="008F68A8" w:rsidRDefault="00E233BF">
      <w:pPr>
        <w:rPr>
          <w:lang w:val="en-US"/>
        </w:rPr>
      </w:pPr>
    </w:p>
    <w:p w14:paraId="53BB7A42" w14:textId="77777777" w:rsidR="00E233BF" w:rsidRPr="008F68A8" w:rsidRDefault="00E233BF">
      <w:pPr>
        <w:rPr>
          <w:lang w:val="en-US"/>
        </w:rPr>
      </w:pPr>
    </w:p>
    <w:p w14:paraId="5A4E08D9" w14:textId="77777777" w:rsidR="00E233BF" w:rsidRPr="008F68A8" w:rsidRDefault="00E233BF">
      <w:pPr>
        <w:rPr>
          <w:lang w:val="en-US"/>
        </w:rPr>
      </w:pPr>
    </w:p>
    <w:p w14:paraId="7EB6429F" w14:textId="77777777" w:rsidR="00E233BF" w:rsidRPr="008F68A8" w:rsidRDefault="00E233BF">
      <w:pPr>
        <w:rPr>
          <w:lang w:val="en-US"/>
        </w:rPr>
      </w:pPr>
    </w:p>
    <w:p w14:paraId="3126CD24" w14:textId="77777777" w:rsidR="00E233BF" w:rsidRPr="008F68A8" w:rsidRDefault="00E233BF">
      <w:pPr>
        <w:rPr>
          <w:lang w:val="en-US"/>
        </w:rPr>
      </w:pPr>
    </w:p>
    <w:p w14:paraId="3898AFD3" w14:textId="77777777" w:rsidR="00E233BF" w:rsidRPr="008F68A8" w:rsidRDefault="00E233BF">
      <w:pPr>
        <w:rPr>
          <w:lang w:val="en-US"/>
        </w:rPr>
      </w:pPr>
    </w:p>
    <w:p w14:paraId="549E1202" w14:textId="77777777" w:rsidR="00E233BF" w:rsidRPr="008F68A8" w:rsidRDefault="00E233BF">
      <w:pPr>
        <w:rPr>
          <w:lang w:val="en-US"/>
        </w:rPr>
      </w:pPr>
    </w:p>
    <w:p w14:paraId="4F25C731" w14:textId="77777777" w:rsidR="00E233BF" w:rsidRPr="008F68A8" w:rsidRDefault="00E233BF">
      <w:pPr>
        <w:rPr>
          <w:lang w:val="en-US"/>
        </w:rPr>
      </w:pPr>
    </w:p>
    <w:p w14:paraId="7757954A" w14:textId="77777777" w:rsidR="00E233BF" w:rsidRPr="008F68A8" w:rsidRDefault="00E233BF">
      <w:pPr>
        <w:rPr>
          <w:lang w:val="en-US"/>
        </w:rPr>
      </w:pPr>
    </w:p>
    <w:p w14:paraId="760726B3" w14:textId="77777777" w:rsidR="00E233BF" w:rsidRPr="008F68A8" w:rsidRDefault="00E233BF">
      <w:pPr>
        <w:rPr>
          <w:lang w:val="en-US"/>
        </w:rPr>
      </w:pPr>
    </w:p>
    <w:p w14:paraId="0B6493BF" w14:textId="77777777" w:rsidR="00E233BF" w:rsidRPr="008F68A8" w:rsidRDefault="00E233BF">
      <w:pPr>
        <w:rPr>
          <w:lang w:val="en-US"/>
        </w:rPr>
      </w:pPr>
    </w:p>
    <w:p w14:paraId="2C84BD76" w14:textId="77777777" w:rsidR="00E233BF" w:rsidRPr="008F68A8" w:rsidRDefault="00E233BF">
      <w:pPr>
        <w:rPr>
          <w:lang w:val="en-US"/>
        </w:rPr>
      </w:pPr>
    </w:p>
    <w:p w14:paraId="7B651EBF" w14:textId="77777777" w:rsidR="00E233BF" w:rsidRPr="008F68A8" w:rsidRDefault="00E233BF">
      <w:pPr>
        <w:rPr>
          <w:lang w:val="en-US"/>
        </w:rPr>
      </w:pPr>
    </w:p>
    <w:p w14:paraId="71597F24" w14:textId="77777777" w:rsidR="00E233BF" w:rsidRPr="008F68A8" w:rsidRDefault="00E233BF">
      <w:pPr>
        <w:rPr>
          <w:lang w:val="en-US"/>
        </w:rPr>
      </w:pPr>
    </w:p>
    <w:p w14:paraId="116F8EBA" w14:textId="77777777" w:rsidR="00E233BF" w:rsidRPr="008F68A8" w:rsidRDefault="00E233BF">
      <w:pPr>
        <w:rPr>
          <w:lang w:val="en-US"/>
        </w:rPr>
      </w:pPr>
    </w:p>
    <w:p w14:paraId="7FC338C7" w14:textId="77777777" w:rsidR="00E233BF" w:rsidRPr="008F68A8" w:rsidRDefault="00E233BF">
      <w:pPr>
        <w:rPr>
          <w:lang w:val="en-US"/>
        </w:rPr>
      </w:pPr>
    </w:p>
    <w:p w14:paraId="7F6627DF" w14:textId="77777777" w:rsidR="00E233BF" w:rsidRPr="008F68A8" w:rsidRDefault="00E233BF">
      <w:pPr>
        <w:rPr>
          <w:lang w:val="en-US"/>
        </w:rPr>
      </w:pPr>
    </w:p>
    <w:p w14:paraId="0D148057" w14:textId="77777777" w:rsidR="00E233BF" w:rsidRPr="008F68A8" w:rsidRDefault="00E233BF">
      <w:pPr>
        <w:rPr>
          <w:lang w:val="en-US"/>
        </w:rPr>
      </w:pPr>
    </w:p>
    <w:p w14:paraId="668C337D" w14:textId="77777777" w:rsidR="00E233BF" w:rsidRPr="008F68A8" w:rsidRDefault="00E233BF">
      <w:pPr>
        <w:rPr>
          <w:lang w:val="en-US"/>
        </w:rPr>
      </w:pPr>
    </w:p>
    <w:p w14:paraId="2BA030DB" w14:textId="77777777" w:rsidR="00E233BF" w:rsidRPr="008F68A8" w:rsidRDefault="00E233BF">
      <w:pPr>
        <w:rPr>
          <w:lang w:val="en-US"/>
        </w:rPr>
      </w:pPr>
    </w:p>
    <w:p w14:paraId="3B7F115C" w14:textId="77777777" w:rsidR="00E233BF" w:rsidRPr="008F68A8" w:rsidRDefault="00E233BF">
      <w:pPr>
        <w:rPr>
          <w:lang w:val="en-US"/>
        </w:rPr>
      </w:pPr>
    </w:p>
    <w:p w14:paraId="14C9BB0F" w14:textId="77777777" w:rsidR="00E233BF" w:rsidRPr="008F68A8" w:rsidRDefault="00E233BF">
      <w:pPr>
        <w:rPr>
          <w:lang w:val="en-US"/>
        </w:rPr>
      </w:pPr>
    </w:p>
    <w:p w14:paraId="1A19F09D" w14:textId="77777777" w:rsidR="00E233BF" w:rsidRPr="008F68A8" w:rsidRDefault="00E233BF">
      <w:pPr>
        <w:rPr>
          <w:lang w:val="en-US"/>
        </w:rPr>
      </w:pPr>
    </w:p>
    <w:p w14:paraId="7030796B" w14:textId="77777777" w:rsidR="00E233BF" w:rsidRPr="008F68A8" w:rsidRDefault="00E233BF">
      <w:pPr>
        <w:rPr>
          <w:lang w:val="en-US"/>
        </w:rPr>
      </w:pPr>
    </w:p>
    <w:p w14:paraId="0EAEFB87" w14:textId="77777777" w:rsidR="00E233BF" w:rsidRPr="008F68A8" w:rsidRDefault="00E233BF">
      <w:pPr>
        <w:rPr>
          <w:lang w:val="en-US"/>
        </w:rPr>
      </w:pPr>
    </w:p>
    <w:p w14:paraId="69F4350B" w14:textId="77777777" w:rsidR="00E233BF" w:rsidRPr="008F68A8" w:rsidRDefault="00E233BF">
      <w:pPr>
        <w:rPr>
          <w:lang w:val="en-US"/>
        </w:rPr>
      </w:pPr>
    </w:p>
    <w:p w14:paraId="58A3E061" w14:textId="77777777" w:rsidR="00E233BF" w:rsidRPr="008F68A8" w:rsidRDefault="00E233BF">
      <w:pPr>
        <w:rPr>
          <w:lang w:val="en-US"/>
        </w:rPr>
      </w:pPr>
    </w:p>
    <w:p w14:paraId="44F2E750" w14:textId="77777777" w:rsidR="004E4A7F" w:rsidRDefault="004E4A7F" w:rsidP="006F59E3">
      <w:pPr>
        <w:pStyle w:val="NormalWeb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35A0D3CF" w14:textId="31781983" w:rsidR="004E4A7F" w:rsidRDefault="004E4A7F" w:rsidP="006F59E3">
      <w:pPr>
        <w:pStyle w:val="NormalWeb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noProof/>
          <w:sz w:val="22"/>
          <w:szCs w:val="22"/>
          <w:lang w:eastAsia="es-ES"/>
        </w:rPr>
        <w:drawing>
          <wp:inline distT="0" distB="0" distL="0" distR="0" wp14:anchorId="1F1F9E7B" wp14:editId="4EB93020">
            <wp:extent cx="5901055" cy="7865745"/>
            <wp:effectExtent l="0" t="0" r="0" b="8255"/>
            <wp:docPr id="1" name="Imagen 1" descr="Macintosh HD:Users:maria_m:Documents:María 210107:PrimPol-150417:PrimPol human Junio 2016:BiblioPrimPol:WFYY:210201:Supp Fig 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maria_m:Documents:María 210107:PrimPol-150417:PrimPol human Junio 2016:BiblioPrimPol:WFYY:210201:Supp Fig 1.pd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055" cy="786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EA8DAE" w14:textId="77777777" w:rsidR="004E4A7F" w:rsidRDefault="004E4A7F" w:rsidP="006F59E3">
      <w:pPr>
        <w:pStyle w:val="NormalWeb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424A321D" w14:textId="77777777" w:rsidR="004E4A7F" w:rsidRDefault="004E4A7F" w:rsidP="006F59E3">
      <w:pPr>
        <w:pStyle w:val="NormalWeb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4B9DE5CD" w14:textId="3136A491" w:rsidR="006F59E3" w:rsidRDefault="006F59E3" w:rsidP="006F59E3">
      <w:pPr>
        <w:pStyle w:val="NormalWeb"/>
        <w:jc w:val="both"/>
        <w:rPr>
          <w:rFonts w:ascii="Arial" w:hAnsi="Arial" w:cs="Arial"/>
          <w:noProof/>
          <w:sz w:val="22"/>
          <w:szCs w:val="22"/>
          <w:lang w:eastAsia="es-ES"/>
        </w:rPr>
      </w:pP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Supplementary Figure 1. </w:t>
      </w:r>
      <w:r w:rsidRPr="00A9794E">
        <w:rPr>
          <w:rFonts w:ascii="Arial" w:hAnsi="Arial" w:cs="Arial"/>
          <w:sz w:val="22"/>
          <w:szCs w:val="22"/>
          <w:lang w:val="en-US"/>
        </w:rPr>
        <w:t>Amino acid sequence alignment of the segment spanning conserved motifs WxxY and A, in different eukaryotic PrimPols</w:t>
      </w:r>
      <w:r w:rsidRPr="005C6228">
        <w:rPr>
          <w:rFonts w:ascii="Arial" w:hAnsi="Arial" w:cs="Arial"/>
          <w:sz w:val="22"/>
          <w:szCs w:val="22"/>
          <w:lang w:val="en-US"/>
        </w:rPr>
        <w:t xml:space="preserve">. The first block of PrimPol sequences correspond to </w:t>
      </w:r>
      <w:r w:rsidRPr="005C6228">
        <w:rPr>
          <w:rFonts w:ascii="Arial" w:hAnsi="Arial" w:cs="Arial"/>
          <w:i/>
          <w:sz w:val="22"/>
          <w:szCs w:val="22"/>
          <w:lang w:val="en-US"/>
        </w:rPr>
        <w:t>Hs</w:t>
      </w:r>
      <w:r w:rsidRPr="005C6228">
        <w:rPr>
          <w:rFonts w:ascii="Arial" w:hAnsi="Arial" w:cs="Arial"/>
          <w:sz w:val="22"/>
          <w:szCs w:val="22"/>
          <w:lang w:val="en-US"/>
        </w:rPr>
        <w:t xml:space="preserve">PrimPol aligned with its closest vertebrate orthologous (excluding other primates). The second block corresponds to </w:t>
      </w:r>
      <w:r w:rsidRPr="005C6228">
        <w:rPr>
          <w:rFonts w:ascii="Arial" w:hAnsi="Arial" w:cs="Arial"/>
          <w:i/>
          <w:sz w:val="22"/>
          <w:szCs w:val="22"/>
          <w:lang w:val="en-US"/>
        </w:rPr>
        <w:t>Hs</w:t>
      </w:r>
      <w:r w:rsidRPr="005C6228">
        <w:rPr>
          <w:rFonts w:ascii="Arial" w:hAnsi="Arial" w:cs="Arial"/>
          <w:sz w:val="22"/>
          <w:szCs w:val="22"/>
          <w:lang w:val="en-US"/>
        </w:rPr>
        <w:t xml:space="preserve">PrimPol aligned with its closest invertebrate orthologous. The third block corresponds to </w:t>
      </w:r>
      <w:r w:rsidRPr="005C6228">
        <w:rPr>
          <w:rFonts w:ascii="Arial" w:hAnsi="Arial" w:cs="Arial"/>
          <w:i/>
          <w:sz w:val="22"/>
          <w:szCs w:val="22"/>
          <w:lang w:val="en-US"/>
        </w:rPr>
        <w:t>Hs</w:t>
      </w:r>
      <w:r w:rsidRPr="005C6228">
        <w:rPr>
          <w:rFonts w:ascii="Arial" w:hAnsi="Arial" w:cs="Arial"/>
          <w:sz w:val="22"/>
          <w:szCs w:val="22"/>
          <w:lang w:val="en-US"/>
        </w:rPr>
        <w:t xml:space="preserve">PrimPol aligned with its closest plant orthologous.  Invariant residues in each block are in bold. Residues depicted in red emphasize amino acid sequence identity relative to </w:t>
      </w:r>
      <w:r w:rsidRPr="005C6228">
        <w:rPr>
          <w:rFonts w:ascii="Arial" w:hAnsi="Arial" w:cs="Arial"/>
          <w:i/>
          <w:sz w:val="22"/>
          <w:szCs w:val="22"/>
          <w:lang w:val="en-US"/>
        </w:rPr>
        <w:t>Hs</w:t>
      </w:r>
      <w:r w:rsidRPr="005C6228">
        <w:rPr>
          <w:rFonts w:ascii="Arial" w:hAnsi="Arial" w:cs="Arial"/>
          <w:sz w:val="22"/>
          <w:szCs w:val="22"/>
          <w:lang w:val="en-US"/>
        </w:rPr>
        <w:t>PrimPol</w:t>
      </w:r>
      <w:r>
        <w:rPr>
          <w:rFonts w:ascii="Arial" w:hAnsi="Arial" w:cs="Arial"/>
          <w:sz w:val="22"/>
          <w:szCs w:val="22"/>
          <w:lang w:val="en-US"/>
        </w:rPr>
        <w:t>. The invariant tyrosine, acting as sugar discriminator in PrimPols, is indicated with a green dot</w:t>
      </w:r>
      <w:r w:rsidRPr="005C6228">
        <w:rPr>
          <w:rFonts w:ascii="Arial" w:hAnsi="Arial" w:cs="Arial"/>
          <w:sz w:val="22"/>
          <w:szCs w:val="22"/>
          <w:lang w:val="en-US"/>
        </w:rPr>
        <w:t>.</w:t>
      </w:r>
      <w:r>
        <w:rPr>
          <w:rFonts w:ascii="Arial" w:hAnsi="Arial" w:cs="Arial"/>
          <w:sz w:val="22"/>
          <w:szCs w:val="22"/>
          <w:lang w:val="en-US"/>
        </w:rPr>
        <w:t xml:space="preserve"> AEP Motif A is shadowed in yellow and the catalytic carboxilates are highlighted with an asterisk. Motif WFYY is shadowed in purple.</w:t>
      </w:r>
    </w:p>
    <w:p w14:paraId="18540AC5" w14:textId="77777777" w:rsidR="004E4A7F" w:rsidRDefault="004E4A7F" w:rsidP="006F59E3">
      <w:pPr>
        <w:pStyle w:val="NormalWeb"/>
        <w:jc w:val="both"/>
        <w:rPr>
          <w:rFonts w:ascii="Arial" w:hAnsi="Arial" w:cs="Arial"/>
          <w:noProof/>
          <w:sz w:val="22"/>
          <w:szCs w:val="22"/>
          <w:lang w:eastAsia="es-ES"/>
        </w:rPr>
      </w:pPr>
    </w:p>
    <w:p w14:paraId="6B2DF4F7" w14:textId="595C2D8A" w:rsidR="004E4A7F" w:rsidRPr="005C6228" w:rsidRDefault="004E4A7F" w:rsidP="006F59E3">
      <w:pPr>
        <w:pStyle w:val="NormalWeb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noProof/>
          <w:sz w:val="22"/>
          <w:szCs w:val="22"/>
          <w:lang w:eastAsia="es-ES"/>
        </w:rPr>
        <w:lastRenderedPageBreak/>
        <w:drawing>
          <wp:inline distT="0" distB="0" distL="0" distR="0" wp14:anchorId="06ECC5AF" wp14:editId="70146463">
            <wp:extent cx="5901055" cy="7865745"/>
            <wp:effectExtent l="0" t="0" r="0" b="8255"/>
            <wp:docPr id="3" name="Imagen 3" descr="Macintosh HD:Users:maria_m:Documents:María 210107:PrimPol-150417:PrimPol human Junio 2016:BiblioPrimPol:WFYY:210201:Supp Fig 2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maria_m:Documents:María 210107:PrimPol-150417:PrimPol human Junio 2016:BiblioPrimPol:WFYY:210201:Supp Fig 2.pd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055" cy="786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B1012B" w14:textId="45B89F56" w:rsidR="005B4616" w:rsidRDefault="005B4616" w:rsidP="005B4616">
      <w:pPr>
        <w:pStyle w:val="NormalWeb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Supplementary Figure </w:t>
      </w:r>
      <w:r>
        <w:rPr>
          <w:rFonts w:ascii="Arial" w:hAnsi="Arial" w:cs="Arial"/>
          <w:b/>
          <w:bCs/>
          <w:sz w:val="22"/>
          <w:szCs w:val="22"/>
          <w:lang w:val="en-US"/>
        </w:rPr>
        <w:t>2</w:t>
      </w:r>
      <w:r w:rsidRPr="005C6228">
        <w:rPr>
          <w:rFonts w:ascii="Arial" w:hAnsi="Arial" w:cs="Arial"/>
          <w:bCs/>
          <w:sz w:val="22"/>
          <w:szCs w:val="22"/>
          <w:lang w:val="en-US"/>
        </w:rPr>
        <w:t>.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235D50">
        <w:rPr>
          <w:rFonts w:ascii="Arial" w:hAnsi="Arial" w:cs="Arial"/>
          <w:bCs/>
          <w:sz w:val="22"/>
          <w:szCs w:val="22"/>
          <w:lang w:val="en-US"/>
        </w:rPr>
        <w:t>(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>A</w:t>
      </w:r>
      <w:r w:rsidRPr="00235D50">
        <w:rPr>
          <w:rFonts w:ascii="Arial" w:hAnsi="Arial" w:cs="Arial"/>
          <w:bCs/>
          <w:sz w:val="22"/>
          <w:szCs w:val="22"/>
          <w:lang w:val="en-US"/>
        </w:rPr>
        <w:t>)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B021FA">
        <w:rPr>
          <w:rFonts w:ascii="Arial" w:hAnsi="Arial" w:cs="Arial"/>
          <w:bCs/>
          <w:sz w:val="22"/>
          <w:szCs w:val="22"/>
          <w:u w:val="single"/>
          <w:lang w:val="en-US"/>
        </w:rPr>
        <w:t>Similar overexpression of V5-PrimPol (WT or mutant) in HeLa cells.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In order to evaluate the importance of </w:t>
      </w:r>
      <w:r>
        <w:rPr>
          <w:rFonts w:ascii="Arial" w:hAnsi="Arial" w:cs="Arial"/>
          <w:bCs/>
          <w:sz w:val="22"/>
          <w:szCs w:val="22"/>
          <w:lang w:val="en-US"/>
        </w:rPr>
        <w:t>the WFYY motif of human PrimPol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, four different PrimPol mutants (W87G, F88L, Y89D and Y90D) were generated, </w:t>
      </w:r>
      <w:r>
        <w:rPr>
          <w:rFonts w:ascii="Arial" w:hAnsi="Arial" w:cs="Arial"/>
          <w:bCs/>
          <w:sz w:val="22"/>
          <w:szCs w:val="22"/>
          <w:lang w:val="en-US"/>
        </w:rPr>
        <w:t>in addition to the catalytically-dead mutant AxA (</w:t>
      </w:r>
      <w:r>
        <w:rPr>
          <w:rFonts w:ascii="Arial" w:hAnsi="Arial" w:cs="Arial"/>
          <w:bCs/>
          <w:color w:val="2535FF"/>
          <w:sz w:val="22"/>
          <w:szCs w:val="22"/>
          <w:lang w:val="en-US"/>
        </w:rPr>
        <w:t>3</w:t>
      </w:r>
      <w:proofErr w:type="gramStart"/>
      <w:r>
        <w:rPr>
          <w:rFonts w:ascii="Arial" w:hAnsi="Arial" w:cs="Arial"/>
          <w:bCs/>
          <w:color w:val="2535FF"/>
          <w:sz w:val="22"/>
          <w:szCs w:val="22"/>
          <w:lang w:val="en-US"/>
        </w:rPr>
        <w:t>,4</w:t>
      </w:r>
      <w:proofErr w:type="gramEnd"/>
      <w:r>
        <w:rPr>
          <w:rFonts w:ascii="Arial" w:hAnsi="Arial" w:cs="Arial"/>
          <w:bCs/>
          <w:sz w:val="22"/>
          <w:szCs w:val="22"/>
          <w:lang w:val="en-US"/>
        </w:rPr>
        <w:t>)</w:t>
      </w:r>
      <w:r w:rsidRPr="00DF18BE">
        <w:rPr>
          <w:rFonts w:ascii="Arial" w:hAnsi="Arial" w:cs="Arial"/>
          <w:bCs/>
          <w:sz w:val="22"/>
          <w:szCs w:val="22"/>
          <w:lang w:val="en-US"/>
        </w:rPr>
        <w:t>. Their activity in human cells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was studied in a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 HeLa-shPrimPol cell line (Mourón </w:t>
      </w:r>
      <w:r w:rsidRPr="00DF18BE">
        <w:rPr>
          <w:rFonts w:ascii="Arial" w:hAnsi="Arial" w:cs="Arial"/>
          <w:bCs/>
          <w:i/>
          <w:iCs/>
          <w:sz w:val="22"/>
          <w:szCs w:val="22"/>
          <w:lang w:val="en-US"/>
        </w:rPr>
        <w:t>et al.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, 2013) in which a shRNA molecule targeting PrimPol mRNA </w:t>
      </w:r>
      <w:r w:rsidRPr="00DF18BE">
        <w:rPr>
          <w:rFonts w:ascii="Arial" w:hAnsi="Arial" w:cs="Arial"/>
          <w:bCs/>
          <w:sz w:val="22"/>
          <w:szCs w:val="22"/>
          <w:lang w:val="en-US"/>
        </w:rPr>
        <w:lastRenderedPageBreak/>
        <w:t>can be induced with doxycycline (dox). The expression levels of all PrimPol variants were monitored with PrimPol and V5 antibodies</w:t>
      </w:r>
      <w:r>
        <w:rPr>
          <w:rFonts w:ascii="Arial" w:hAnsi="Arial" w:cs="Arial"/>
          <w:bCs/>
          <w:sz w:val="22"/>
          <w:szCs w:val="22"/>
          <w:lang w:val="en-US"/>
        </w:rPr>
        <w:t xml:space="preserve">, and </w:t>
      </w:r>
      <w:r w:rsidRPr="005C6228">
        <w:rPr>
          <w:rFonts w:ascii="Arial" w:hAnsi="Arial" w:cs="Arial"/>
          <w:bCs/>
          <w:sz w:val="22"/>
          <w:szCs w:val="22"/>
          <w:lang w:val="en-US"/>
        </w:rPr>
        <w:t xml:space="preserve">Mek2 was used as a loading control. 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 As shown in </w:t>
      </w:r>
      <w:r>
        <w:rPr>
          <w:rFonts w:ascii="Arial" w:hAnsi="Arial" w:cs="Arial"/>
          <w:bCs/>
          <w:sz w:val="22"/>
          <w:szCs w:val="22"/>
          <w:lang w:val="en-US"/>
        </w:rPr>
        <w:t>the figure,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 addition of </w:t>
      </w:r>
      <w:r>
        <w:rPr>
          <w:rFonts w:ascii="Arial" w:hAnsi="Arial" w:cs="Arial"/>
          <w:bCs/>
          <w:sz w:val="22"/>
          <w:szCs w:val="22"/>
          <w:lang w:val="en-US"/>
        </w:rPr>
        <w:t>doxycycline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 efficiently downregulated the endogenous PrimPol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(lanes 1 vs 2)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, while </w:t>
      </w:r>
      <w:r>
        <w:rPr>
          <w:rFonts w:ascii="Arial" w:hAnsi="Arial" w:cs="Arial"/>
          <w:bCs/>
          <w:sz w:val="22"/>
          <w:szCs w:val="22"/>
          <w:lang w:val="en-US"/>
        </w:rPr>
        <w:t xml:space="preserve">the overexpressed </w:t>
      </w:r>
      <w:r w:rsidRPr="00DF18BE">
        <w:rPr>
          <w:rFonts w:ascii="Arial" w:hAnsi="Arial" w:cs="Arial"/>
          <w:bCs/>
          <w:sz w:val="22"/>
          <w:szCs w:val="22"/>
          <w:lang w:val="en-US"/>
        </w:rPr>
        <w:t>exogenous PrimPol (either WT or mutant</w:t>
      </w:r>
      <w:r>
        <w:rPr>
          <w:rFonts w:ascii="Arial" w:hAnsi="Arial" w:cs="Arial"/>
          <w:bCs/>
          <w:sz w:val="22"/>
          <w:szCs w:val="22"/>
          <w:lang w:val="en-US"/>
        </w:rPr>
        <w:t>s</w:t>
      </w:r>
      <w:r w:rsidRPr="00DF18BE">
        <w:rPr>
          <w:rFonts w:ascii="Arial" w:hAnsi="Arial" w:cs="Arial"/>
          <w:bCs/>
          <w:sz w:val="22"/>
          <w:szCs w:val="22"/>
          <w:lang w:val="en-US"/>
        </w:rPr>
        <w:t xml:space="preserve">) </w:t>
      </w:r>
      <w:r>
        <w:rPr>
          <w:rFonts w:ascii="Arial" w:hAnsi="Arial" w:cs="Arial"/>
          <w:bCs/>
          <w:sz w:val="22"/>
          <w:szCs w:val="22"/>
          <w:lang w:val="en-US"/>
        </w:rPr>
        <w:t xml:space="preserve">could not be inhibited by doxycycline addition, and were comparable in all cases. </w:t>
      </w:r>
      <w:r w:rsidRPr="001D274F">
        <w:rPr>
          <w:rFonts w:ascii="Arial" w:hAnsi="Arial" w:cs="Arial"/>
          <w:bCs/>
          <w:sz w:val="22"/>
          <w:szCs w:val="22"/>
          <w:lang w:val="en-US"/>
        </w:rPr>
        <w:t>(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>B</w:t>
      </w:r>
      <w:r w:rsidRPr="001D274F">
        <w:rPr>
          <w:rFonts w:ascii="Arial" w:hAnsi="Arial" w:cs="Arial"/>
          <w:bCs/>
          <w:sz w:val="22"/>
          <w:szCs w:val="22"/>
          <w:lang w:val="en-US"/>
        </w:rPr>
        <w:t>)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A0181F">
        <w:rPr>
          <w:rFonts w:ascii="Arial" w:hAnsi="Arial" w:cs="Arial"/>
          <w:bCs/>
          <w:sz w:val="22"/>
          <w:szCs w:val="22"/>
          <w:u w:val="single"/>
          <w:lang w:val="en-US"/>
        </w:rPr>
        <w:t>Mutations in WFYY motif do not alter PrimPol subcellular distribution.</w:t>
      </w:r>
      <w:r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A0181F">
        <w:rPr>
          <w:rFonts w:ascii="Arial" w:hAnsi="Arial" w:cs="Arial"/>
          <w:bCs/>
          <w:sz w:val="22"/>
          <w:szCs w:val="22"/>
          <w:lang w:val="en-US"/>
        </w:rPr>
        <w:t>In HeLa cells, PrimPol protein is distributed in nucleus, mitochondria and cytoplasm (</w:t>
      </w:r>
      <w:r>
        <w:rPr>
          <w:rFonts w:ascii="Arial" w:hAnsi="Arial" w:cs="Arial"/>
          <w:bCs/>
          <w:color w:val="2535FF"/>
          <w:sz w:val="22"/>
          <w:szCs w:val="22"/>
          <w:lang w:val="en-US"/>
        </w:rPr>
        <w:t>4</w:t>
      </w:r>
      <w:r w:rsidRPr="00A0181F">
        <w:rPr>
          <w:rFonts w:ascii="Arial" w:hAnsi="Arial" w:cs="Arial"/>
          <w:bCs/>
          <w:sz w:val="22"/>
          <w:szCs w:val="22"/>
          <w:lang w:val="en-US"/>
        </w:rPr>
        <w:t xml:space="preserve">). To rule out the possibility that the inactive mutants could display an inappropriate </w:t>
      </w:r>
      <w:r w:rsidRPr="00A0181F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in vivo </w:t>
      </w:r>
      <w:r w:rsidRPr="00A0181F">
        <w:rPr>
          <w:rFonts w:ascii="Arial" w:hAnsi="Arial" w:cs="Arial"/>
          <w:bCs/>
          <w:sz w:val="22"/>
          <w:szCs w:val="22"/>
          <w:lang w:val="en-US"/>
        </w:rPr>
        <w:t>distribution, the levels of PrimPol were tested in each subcellular compartment after biochemical fractionation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(see the schematic)</w:t>
      </w:r>
      <w:r w:rsidRPr="00A0181F">
        <w:rPr>
          <w:rFonts w:ascii="Arial" w:hAnsi="Arial" w:cs="Arial"/>
          <w:bCs/>
          <w:sz w:val="22"/>
          <w:szCs w:val="22"/>
          <w:lang w:val="en-US"/>
        </w:rPr>
        <w:t xml:space="preserve">. WT V5-tagged PrimPol was also used to evaluate any possible effect of the tag in the subcellular distribution. </w:t>
      </w:r>
      <w:r w:rsidRPr="00BC119C">
        <w:rPr>
          <w:rFonts w:ascii="Arial" w:hAnsi="Arial" w:cs="Arial"/>
          <w:bCs/>
          <w:sz w:val="22"/>
          <w:szCs w:val="22"/>
          <w:lang w:val="en-US"/>
        </w:rPr>
        <w:t>Immunoblots show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Pr="00BC119C">
        <w:rPr>
          <w:rFonts w:ascii="Arial" w:hAnsi="Arial" w:cs="Arial"/>
          <w:bCs/>
          <w:sz w:val="22"/>
          <w:szCs w:val="22"/>
          <w:lang w:val="en-US"/>
        </w:rPr>
        <w:t>the levels of the indicated proteins in whole cell extract (WCE), cytosol (C), mitochondria (M) and nuclear (N) fractions. MEK2, ATP-SYNTHASE (ATP-SYNT) and H3 were used as controls of the biochemical fractionation</w:t>
      </w:r>
      <w:r>
        <w:rPr>
          <w:rFonts w:ascii="Arial" w:hAnsi="Arial" w:cs="Arial"/>
          <w:bCs/>
          <w:sz w:val="22"/>
          <w:szCs w:val="22"/>
          <w:lang w:val="en-US"/>
        </w:rPr>
        <w:t>.</w:t>
      </w:r>
      <w:r w:rsidRPr="00BC119C"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Pr="00A0181F">
        <w:rPr>
          <w:rFonts w:ascii="Arial" w:hAnsi="Arial" w:cs="Arial"/>
          <w:bCs/>
          <w:sz w:val="22"/>
          <w:szCs w:val="22"/>
          <w:lang w:val="en-US"/>
        </w:rPr>
        <w:t>Importantly, none of the mutants showed an abnormal distribution.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Pr="00BC119C">
        <w:rPr>
          <w:rFonts w:ascii="Arial" w:hAnsi="Arial" w:cs="Arial"/>
          <w:bCs/>
          <w:sz w:val="22"/>
          <w:szCs w:val="22"/>
          <w:lang w:val="en-US"/>
        </w:rPr>
        <w:t>Therefore, the effects observed in the stretched DNA fibers experiments are the consequence of defects in protein activity rather than a deficient subcellular distribution.</w:t>
      </w:r>
    </w:p>
    <w:p w14:paraId="404BDF79" w14:textId="77777777" w:rsidR="004E4A7F" w:rsidRDefault="004E4A7F" w:rsidP="005B4616">
      <w:pPr>
        <w:pStyle w:val="NormalWeb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9C904B7" w14:textId="77777777" w:rsidR="004E4A7F" w:rsidRDefault="004E4A7F" w:rsidP="005B4616">
      <w:pPr>
        <w:pStyle w:val="NormalWeb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6FC6BF90" w14:textId="0FE7E7FF" w:rsidR="004E4A7F" w:rsidRPr="005C6228" w:rsidRDefault="004E4A7F" w:rsidP="005B4616">
      <w:pPr>
        <w:pStyle w:val="NormalWeb"/>
        <w:jc w:val="both"/>
        <w:rPr>
          <w:rFonts w:ascii="Arial" w:hAnsi="Arial" w:cs="Arial"/>
          <w:bCs/>
          <w:sz w:val="22"/>
          <w:szCs w:val="22"/>
          <w:lang w:val="en-US"/>
        </w:rPr>
      </w:pPr>
      <w:r>
        <w:rPr>
          <w:rFonts w:ascii="Arial" w:hAnsi="Arial" w:cs="Arial"/>
          <w:bCs/>
          <w:noProof/>
          <w:sz w:val="22"/>
          <w:szCs w:val="22"/>
          <w:lang w:eastAsia="es-ES"/>
        </w:rPr>
        <w:lastRenderedPageBreak/>
        <w:drawing>
          <wp:inline distT="0" distB="0" distL="0" distR="0" wp14:anchorId="14DA559B" wp14:editId="4523F7D8">
            <wp:extent cx="5901055" cy="7865745"/>
            <wp:effectExtent l="0" t="0" r="0" b="8255"/>
            <wp:docPr id="4" name="Imagen 4" descr="Macintosh HD:Users:maria_m:Documents:María 210107:PrimPol-150417:PrimPol human Junio 2016:BiblioPrimPol:WFYY:210201:Supp Fig 3 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maria_m:Documents:María 210107:PrimPol-150417:PrimPol human Junio 2016:BiblioPrimPol:WFYY:210201:Supp Fig 3 .pd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055" cy="786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4A75C" w14:textId="126AB13D" w:rsidR="004E4A7F" w:rsidRDefault="004E4A7F" w:rsidP="004E4A7F">
      <w:pPr>
        <w:pStyle w:val="NormalWeb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Supplementary Figure </w:t>
      </w:r>
      <w:r>
        <w:rPr>
          <w:rFonts w:ascii="Arial" w:hAnsi="Arial" w:cs="Arial"/>
          <w:b/>
          <w:bCs/>
          <w:sz w:val="22"/>
          <w:szCs w:val="22"/>
          <w:lang w:val="en-US"/>
        </w:rPr>
        <w:t>3</w:t>
      </w:r>
      <w:r w:rsidRPr="005C6228">
        <w:rPr>
          <w:rFonts w:ascii="Arial" w:hAnsi="Arial" w:cs="Arial"/>
          <w:bCs/>
          <w:sz w:val="22"/>
          <w:szCs w:val="22"/>
          <w:lang w:val="en-US"/>
        </w:rPr>
        <w:t>.</w:t>
      </w:r>
      <w:r w:rsidRPr="005C6228">
        <w:rPr>
          <w:rFonts w:ascii="Arial" w:hAnsi="Arial" w:cs="Arial"/>
          <w:b/>
          <w:bCs/>
          <w:sz w:val="22"/>
          <w:szCs w:val="22"/>
          <w:lang w:val="en-US"/>
        </w:rPr>
        <w:t xml:space="preserve"> </w:t>
      </w:r>
      <w:r w:rsidRPr="004E4A7F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Y89D variant is not critical for PrimPol DNA synthesis in the presence of Mg</w:t>
      </w:r>
      <w:r w:rsidRPr="004E4A7F">
        <w:rPr>
          <w:rFonts w:ascii="Arial" w:hAnsi="Arial" w:cs="Arial"/>
          <w:bCs/>
          <w:color w:val="000000" w:themeColor="text1"/>
          <w:sz w:val="22"/>
          <w:szCs w:val="22"/>
          <w:vertAlign w:val="superscript"/>
          <w:lang w:val="en-US"/>
        </w:rPr>
        <w:t>2+</w:t>
      </w:r>
      <w:r w:rsidRPr="004E4A7F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.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(</w:t>
      </w:r>
      <w:r w:rsidRPr="006A690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A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) Primer extension assay with the indicated concentration of human PrimPol WT or Y89D variant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, expressed and purified as described (</w:t>
      </w:r>
      <w:r>
        <w:rPr>
          <w:rFonts w:ascii="Arial" w:hAnsi="Arial" w:cs="Arial"/>
          <w:bCs/>
          <w:color w:val="0500FF"/>
          <w:sz w:val="22"/>
          <w:szCs w:val="22"/>
          <w:lang w:val="en-US"/>
        </w:rPr>
        <w:t>2</w:t>
      </w:r>
      <w:r w:rsidR="003D1735">
        <w:rPr>
          <w:rFonts w:ascii="Arial" w:hAnsi="Arial" w:cs="Arial"/>
          <w:bCs/>
          <w:color w:val="0500FF"/>
          <w:sz w:val="22"/>
          <w:szCs w:val="22"/>
          <w:lang w:val="en-US"/>
        </w:rPr>
        <w:t>4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)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. Reaction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s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 were done at 37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sym w:font="Symbol" w:char="F0B0"/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C for 10 min on </w:t>
      </w:r>
      <w:proofErr w:type="gramStart"/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an</w:t>
      </w:r>
      <w:proofErr w:type="gramEnd"/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 5'-TET-labeled primed DNA template (15 nM), in the presence of 200 µM dNTP and 10 mM MgCl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vertAlign w:val="subscript"/>
          <w:lang w:val="en-US"/>
        </w:rPr>
        <w:t>2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. (</w:t>
      </w:r>
      <w:r w:rsidRPr="006A690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B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) Primer extension assay with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 the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 indicated amounts of purified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lastRenderedPageBreak/>
        <w:t>human PolDIP2 or BSA in the presence of 150 nM of WT</w:t>
      </w:r>
      <w:r w:rsidRPr="006A690D">
        <w:rPr>
          <w:rFonts w:ascii="Arial" w:hAnsi="Arial" w:cs="Arial"/>
          <w:bCs/>
          <w:i/>
          <w:iCs/>
          <w:color w:val="000000" w:themeColor="text1"/>
          <w:sz w:val="22"/>
          <w:szCs w:val="22"/>
          <w:lang w:val="en-US"/>
        </w:rPr>
        <w:t xml:space="preserve">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or Y89D PrimPol. (</w:t>
      </w:r>
      <w:r w:rsidRPr="006A690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C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) PrimPol priming-dependent </w:t>
      </w:r>
      <w:r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processive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DNA synthesis by </w:t>
      </w:r>
      <w:r w:rsidRPr="006A690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Polγ </w:t>
      </w:r>
      <w:r w:rsidRPr="006A690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on non-primed M13mp18 ssDNA with </w:t>
      </w:r>
      <w:r w:rsidRPr="001D02A3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200 nM WT or Y89D PrimPol, 20 nM Pol γA, 30 nM Pol γB (as a dimer), and 200 nM PolDIP2. </w:t>
      </w:r>
    </w:p>
    <w:p w14:paraId="5CDD05C1" w14:textId="77777777" w:rsidR="00E233BF" w:rsidRPr="005C6228" w:rsidRDefault="00E233BF" w:rsidP="00E233BF">
      <w:pPr>
        <w:pStyle w:val="NormalWeb"/>
        <w:spacing w:line="360" w:lineRule="auto"/>
        <w:jc w:val="both"/>
        <w:rPr>
          <w:rFonts w:ascii="Arial" w:hAnsi="Arial" w:cs="Arial"/>
          <w:sz w:val="22"/>
          <w:szCs w:val="22"/>
          <w:lang w:val="en-US"/>
        </w:rPr>
      </w:pPr>
    </w:p>
    <w:p w14:paraId="2632AABC" w14:textId="565C2B62" w:rsidR="00E233BF" w:rsidRPr="008F68A8" w:rsidRDefault="00E233BF">
      <w:pPr>
        <w:rPr>
          <w:lang w:val="en-US"/>
        </w:rPr>
      </w:pPr>
    </w:p>
    <w:sectPr w:rsidR="00E233BF" w:rsidRPr="008F68A8" w:rsidSect="00850E07">
      <w:pgSz w:w="11900" w:h="16840"/>
      <w:pgMar w:top="1418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evenAndOddHeader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3BF"/>
    <w:rsid w:val="001770A7"/>
    <w:rsid w:val="001B735C"/>
    <w:rsid w:val="003D1735"/>
    <w:rsid w:val="004074C1"/>
    <w:rsid w:val="004C1C02"/>
    <w:rsid w:val="004E4A7F"/>
    <w:rsid w:val="005B4616"/>
    <w:rsid w:val="006F59E3"/>
    <w:rsid w:val="00850E07"/>
    <w:rsid w:val="008E1819"/>
    <w:rsid w:val="008F68A8"/>
    <w:rsid w:val="009D3E44"/>
    <w:rsid w:val="00B6484E"/>
    <w:rsid w:val="00C03139"/>
    <w:rsid w:val="00C65247"/>
    <w:rsid w:val="00D246BD"/>
    <w:rsid w:val="00DF1DC3"/>
    <w:rsid w:val="00E2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A86996"/>
  <w14:defaultImageDpi w14:val="300"/>
  <w15:docId w15:val="{ED69DD4A-89A0-F047-8D16-68FD50845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233BF"/>
    <w:pPr>
      <w:spacing w:before="100" w:beforeAutospacing="1" w:after="100" w:afterAutospacing="1"/>
    </w:pPr>
    <w:rPr>
      <w:rFonts w:ascii="Times" w:eastAsia="Times New Roman" w:hAnsi="Times" w:cs="Times New Roman"/>
      <w:sz w:val="20"/>
      <w:szCs w:val="20"/>
      <w:lang w:val="es-ES" w:eastAsia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4A7F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4A7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627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</dc:creator>
  <cp:keywords/>
  <dc:description/>
  <cp:lastModifiedBy>Lopez.Victoria</cp:lastModifiedBy>
  <cp:revision>2</cp:revision>
  <dcterms:created xsi:type="dcterms:W3CDTF">2022-03-03T12:05:00Z</dcterms:created>
  <dcterms:modified xsi:type="dcterms:W3CDTF">2022-03-03T12:05:00Z</dcterms:modified>
</cp:coreProperties>
</file>