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5A61" w:rsidRPr="001564F8" w:rsidRDefault="00795A61" w:rsidP="00795A61">
      <w:pPr>
        <w:rPr>
          <w:lang w:val="en-US"/>
        </w:rPr>
      </w:pPr>
      <w:bookmarkStart w:id="0" w:name="_GoBack"/>
      <w:bookmarkEnd w:id="0"/>
      <w:r w:rsidRPr="001564F8">
        <w:rPr>
          <w:rFonts w:ascii="Cambria" w:hAnsi="Cambria"/>
          <w:b/>
          <w:sz w:val="18"/>
          <w:lang w:val="en-US"/>
        </w:rPr>
        <w:t xml:space="preserve">Table </w:t>
      </w:r>
      <w:r w:rsidR="00AA24BF">
        <w:rPr>
          <w:rFonts w:ascii="Cambria" w:hAnsi="Cambria"/>
          <w:b/>
          <w:sz w:val="18"/>
          <w:lang w:val="en-US"/>
        </w:rPr>
        <w:t>A</w:t>
      </w:r>
      <w:r w:rsidRPr="001564F8">
        <w:rPr>
          <w:rFonts w:ascii="Cambria" w:hAnsi="Cambria"/>
          <w:sz w:val="18"/>
          <w:lang w:val="en-US"/>
        </w:rPr>
        <w:t>. Location and function of the selected genes</w:t>
      </w:r>
      <w:r w:rsidR="003C7B14">
        <w:rPr>
          <w:rFonts w:ascii="Cambria" w:hAnsi="Cambria"/>
          <w:sz w:val="18"/>
          <w:lang w:val="en-US"/>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firstRow="1" w:lastRow="0" w:firstColumn="1" w:lastColumn="0" w:noHBand="0" w:noVBand="0"/>
      </w:tblPr>
      <w:tblGrid>
        <w:gridCol w:w="1032"/>
        <w:gridCol w:w="955"/>
        <w:gridCol w:w="1045"/>
        <w:gridCol w:w="8861"/>
        <w:gridCol w:w="688"/>
        <w:gridCol w:w="1073"/>
      </w:tblGrid>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b/>
                <w:sz w:val="18"/>
                <w:lang w:eastAsia="en-US"/>
              </w:rPr>
            </w:pPr>
            <w:r w:rsidRPr="001C1EAD">
              <w:rPr>
                <w:rFonts w:ascii="Cambria" w:eastAsia="Calibri" w:hAnsi="Cambria"/>
                <w:b/>
                <w:sz w:val="18"/>
                <w:lang w:eastAsia="en-US"/>
              </w:rPr>
              <w:t>Gene</w:t>
            </w:r>
          </w:p>
        </w:tc>
        <w:tc>
          <w:tcPr>
            <w:tcW w:w="0" w:type="auto"/>
            <w:shd w:val="clear" w:color="auto" w:fill="auto"/>
          </w:tcPr>
          <w:p w:rsidR="00795A61" w:rsidRPr="001C1EAD" w:rsidRDefault="00795A61" w:rsidP="00881758">
            <w:pPr>
              <w:spacing w:after="0" w:line="240" w:lineRule="auto"/>
              <w:rPr>
                <w:rFonts w:ascii="Cambria" w:eastAsia="Calibri" w:hAnsi="Cambria"/>
                <w:b/>
                <w:sz w:val="18"/>
                <w:lang w:eastAsia="en-US"/>
              </w:rPr>
            </w:pPr>
            <w:r w:rsidRPr="001C1EAD">
              <w:rPr>
                <w:rFonts w:ascii="Cambria" w:eastAsia="Calibri" w:hAnsi="Cambria"/>
                <w:b/>
                <w:sz w:val="18"/>
                <w:lang w:eastAsia="en-US"/>
              </w:rPr>
              <w:t>Alias</w:t>
            </w:r>
          </w:p>
        </w:tc>
        <w:tc>
          <w:tcPr>
            <w:tcW w:w="0" w:type="auto"/>
            <w:shd w:val="clear" w:color="auto" w:fill="auto"/>
          </w:tcPr>
          <w:p w:rsidR="00795A61" w:rsidRPr="001C1EAD" w:rsidRDefault="00795A61" w:rsidP="00881758">
            <w:pPr>
              <w:spacing w:after="0" w:line="240" w:lineRule="auto"/>
              <w:jc w:val="both"/>
              <w:rPr>
                <w:rFonts w:ascii="Cambria" w:eastAsia="Calibri" w:hAnsi="Cambria"/>
                <w:b/>
                <w:sz w:val="18"/>
                <w:lang w:eastAsia="en-US"/>
              </w:rPr>
            </w:pPr>
            <w:r w:rsidRPr="001C1EAD">
              <w:rPr>
                <w:rFonts w:ascii="Cambria" w:eastAsia="Calibri" w:hAnsi="Cambria"/>
                <w:b/>
                <w:sz w:val="18"/>
                <w:lang w:eastAsia="en-US"/>
              </w:rPr>
              <w:t>Location</w:t>
            </w:r>
          </w:p>
        </w:tc>
        <w:tc>
          <w:tcPr>
            <w:tcW w:w="0" w:type="auto"/>
            <w:shd w:val="clear" w:color="auto" w:fill="auto"/>
          </w:tcPr>
          <w:p w:rsidR="00795A61" w:rsidRPr="001C1EAD" w:rsidRDefault="00795A61" w:rsidP="00881758">
            <w:pPr>
              <w:spacing w:after="0" w:line="240" w:lineRule="auto"/>
              <w:rPr>
                <w:rFonts w:ascii="Cambria" w:eastAsia="Calibri" w:hAnsi="Cambria"/>
                <w:b/>
                <w:sz w:val="18"/>
                <w:lang w:eastAsia="en-US"/>
              </w:rPr>
            </w:pPr>
            <w:r w:rsidRPr="001C1EAD">
              <w:rPr>
                <w:rFonts w:ascii="Cambria" w:eastAsia="Calibri" w:hAnsi="Cambria"/>
                <w:b/>
                <w:sz w:val="18"/>
                <w:lang w:eastAsia="en-US"/>
              </w:rPr>
              <w:t>Function</w:t>
            </w:r>
          </w:p>
        </w:tc>
        <w:tc>
          <w:tcPr>
            <w:tcW w:w="0" w:type="auto"/>
            <w:shd w:val="clear" w:color="auto" w:fill="auto"/>
          </w:tcPr>
          <w:p w:rsidR="00795A61" w:rsidRPr="001C1EAD" w:rsidRDefault="00795A61" w:rsidP="00881758">
            <w:pPr>
              <w:spacing w:after="0" w:line="240" w:lineRule="auto"/>
              <w:jc w:val="center"/>
              <w:rPr>
                <w:rFonts w:ascii="Cambria" w:eastAsia="Calibri" w:hAnsi="Cambria"/>
                <w:b/>
                <w:sz w:val="18"/>
                <w:lang w:eastAsia="en-US"/>
              </w:rPr>
            </w:pPr>
            <w:r w:rsidRPr="001C1EAD">
              <w:rPr>
                <w:rFonts w:ascii="Cambria" w:eastAsia="Calibri" w:hAnsi="Cambria"/>
                <w:b/>
                <w:sz w:val="18"/>
                <w:lang w:eastAsia="en-US"/>
              </w:rPr>
              <w:t>No SNPs</w:t>
            </w:r>
          </w:p>
        </w:tc>
        <w:tc>
          <w:tcPr>
            <w:tcW w:w="0" w:type="auto"/>
            <w:shd w:val="clear" w:color="auto" w:fill="auto"/>
          </w:tcPr>
          <w:p w:rsidR="00795A61" w:rsidRPr="001C1EAD" w:rsidRDefault="00795A61" w:rsidP="00881758">
            <w:pPr>
              <w:spacing w:after="0" w:line="240" w:lineRule="auto"/>
              <w:jc w:val="center"/>
              <w:rPr>
                <w:rFonts w:ascii="Cambria" w:eastAsia="Calibri" w:hAnsi="Cambria"/>
                <w:b/>
                <w:sz w:val="18"/>
                <w:lang w:eastAsia="en-US"/>
              </w:rPr>
            </w:pPr>
            <w:r w:rsidRPr="001C1EAD">
              <w:rPr>
                <w:rFonts w:ascii="Cambria" w:eastAsia="Calibri" w:hAnsi="Cambria"/>
                <w:b/>
                <w:sz w:val="18"/>
                <w:lang w:eastAsia="en-US"/>
              </w:rPr>
              <w:t>Gene coverage</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GADD45A</w:t>
            </w:r>
          </w:p>
        </w:tc>
        <w:tc>
          <w:tcPr>
            <w:tcW w:w="0" w:type="auto"/>
            <w:shd w:val="clear" w:color="auto" w:fill="auto"/>
          </w:tcPr>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DDIT1</w:t>
            </w:r>
          </w:p>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GADD45</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1p31.2</w:t>
            </w:r>
          </w:p>
          <w:p w:rsidR="00795A61" w:rsidRPr="001C1EAD" w:rsidRDefault="00795A61" w:rsidP="00881758">
            <w:pPr>
              <w:spacing w:after="0" w:line="240" w:lineRule="auto"/>
              <w:jc w:val="both"/>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ind w:left="2"/>
              <w:rPr>
                <w:rFonts w:ascii="Cambria" w:eastAsia="Calibri" w:hAnsi="Cambria"/>
                <w:sz w:val="18"/>
                <w:szCs w:val="20"/>
                <w:lang w:val="en-US" w:eastAsia="es-ES_tradnl"/>
              </w:rPr>
            </w:pPr>
            <w:r w:rsidRPr="001C1EAD">
              <w:rPr>
                <w:rFonts w:ascii="Cambria" w:eastAsia="Calibri" w:hAnsi="Cambria"/>
                <w:sz w:val="18"/>
                <w:szCs w:val="20"/>
                <w:lang w:val="en-US" w:eastAsia="es-ES_tradnl"/>
              </w:rPr>
              <w:t>This gene is a member of a group of genes whose transcript levels are increased following stressful growth arrest conditions and treatment with DNA-damaging agents. The protein encoded by this gene responds to environmental stresses by mediating activation of the p38/JNK pathway via MTK1/MEKK4 kinase. The DNA damage-induced transcription of this gene is mediated by both p53-dependent and -independent mechanisms. Alternatively spliced transcript variants encoding distinct isoforms have been found for this gene.[provided by RefSeq, Dec 2010]</w:t>
            </w:r>
          </w:p>
          <w:p w:rsidR="00795A61" w:rsidRPr="001C1EAD" w:rsidRDefault="00795A61" w:rsidP="00881758">
            <w:pPr>
              <w:spacing w:after="0" w:line="240" w:lineRule="auto"/>
              <w:rPr>
                <w:rFonts w:ascii="Cambria" w:eastAsia="Calibri" w:hAnsi="Cambria"/>
                <w:sz w:val="18"/>
                <w:lang w:val="en-US" w:eastAsia="en-US"/>
              </w:rPr>
            </w:pPr>
          </w:p>
        </w:tc>
        <w:tc>
          <w:tcPr>
            <w:tcW w:w="0" w:type="auto"/>
            <w:shd w:val="clear" w:color="auto" w:fill="auto"/>
          </w:tcPr>
          <w:p w:rsidR="00795A61" w:rsidRPr="001C1EAD" w:rsidRDefault="00795A61" w:rsidP="00881758">
            <w:pPr>
              <w:spacing w:after="0" w:line="240" w:lineRule="auto"/>
              <w:ind w:left="2"/>
              <w:jc w:val="center"/>
              <w:rPr>
                <w:rFonts w:ascii="Cambria" w:eastAsia="Calibri" w:hAnsi="Cambria"/>
                <w:sz w:val="18"/>
                <w:szCs w:val="20"/>
                <w:lang w:eastAsia="es-ES_tradnl"/>
              </w:rPr>
            </w:pPr>
            <w:r w:rsidRPr="001C1EAD">
              <w:rPr>
                <w:rFonts w:ascii="Cambria" w:eastAsia="Calibri" w:hAnsi="Cambria"/>
                <w:sz w:val="18"/>
                <w:szCs w:val="20"/>
                <w:lang w:eastAsia="es-ES_tradnl"/>
              </w:rPr>
              <w:t>4</w:t>
            </w:r>
          </w:p>
        </w:tc>
        <w:tc>
          <w:tcPr>
            <w:tcW w:w="0" w:type="auto"/>
            <w:shd w:val="clear" w:color="auto" w:fill="auto"/>
          </w:tcPr>
          <w:p w:rsidR="00795A61" w:rsidRPr="001C1EAD" w:rsidRDefault="00795A61" w:rsidP="00881758">
            <w:pPr>
              <w:spacing w:after="0" w:line="240" w:lineRule="auto"/>
              <w:ind w:left="2"/>
              <w:jc w:val="center"/>
              <w:rPr>
                <w:rFonts w:ascii="Cambria" w:eastAsia="Calibri" w:hAnsi="Cambria"/>
                <w:sz w:val="18"/>
                <w:szCs w:val="20"/>
                <w:lang w:eastAsia="es-ES_tradnl"/>
              </w:rPr>
            </w:pPr>
            <w:r w:rsidRPr="001C1EAD">
              <w:rPr>
                <w:rFonts w:ascii="Cambria" w:eastAsia="Calibri" w:hAnsi="Cambria"/>
                <w:sz w:val="18"/>
                <w:szCs w:val="20"/>
                <w:lang w:eastAsia="es-ES_tradnl"/>
              </w:rPr>
              <w:t>28%</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SFN</w:t>
            </w:r>
          </w:p>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Stratifin</w:t>
            </w:r>
          </w:p>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14-3-3sigma</w:t>
            </w:r>
          </w:p>
        </w:tc>
        <w:tc>
          <w:tcPr>
            <w:tcW w:w="0" w:type="auto"/>
            <w:shd w:val="clear" w:color="auto" w:fill="auto"/>
          </w:tcPr>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YWHAS</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1p36.11</w:t>
            </w:r>
          </w:p>
          <w:p w:rsidR="00795A61" w:rsidRPr="001C1EAD" w:rsidRDefault="00795A61" w:rsidP="00881758">
            <w:pPr>
              <w:spacing w:after="0" w:line="240" w:lineRule="auto"/>
              <w:jc w:val="both"/>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rPr>
                <w:rFonts w:ascii="Times" w:eastAsia="Calibri" w:hAnsi="Times"/>
                <w:sz w:val="20"/>
                <w:szCs w:val="20"/>
                <w:lang w:val="en-US" w:eastAsia="es-ES_tradnl"/>
              </w:rPr>
            </w:pPr>
            <w:r w:rsidRPr="001C1EAD">
              <w:rPr>
                <w:rFonts w:ascii="Times" w:eastAsia="Calibri" w:hAnsi="Times"/>
                <w:sz w:val="20"/>
                <w:szCs w:val="20"/>
                <w:lang w:val="en-US" w:eastAsia="es-ES_tradnl"/>
              </w:rPr>
              <w:t>Adapter protein implicated in the regulation of a large spectrum of both general and specialized signaling</w:t>
            </w:r>
          </w:p>
          <w:p w:rsidR="00795A61" w:rsidRPr="001C1EAD" w:rsidRDefault="00795A61" w:rsidP="00881758">
            <w:pPr>
              <w:spacing w:after="0" w:line="240" w:lineRule="auto"/>
              <w:rPr>
                <w:rFonts w:ascii="Times" w:eastAsia="Calibri" w:hAnsi="Times"/>
                <w:sz w:val="20"/>
                <w:szCs w:val="20"/>
                <w:lang w:val="en-US" w:eastAsia="es-ES_tradnl"/>
              </w:rPr>
            </w:pPr>
            <w:r w:rsidRPr="001C1EAD">
              <w:rPr>
                <w:rFonts w:ascii="Times" w:eastAsia="Calibri" w:hAnsi="Times"/>
                <w:sz w:val="20"/>
                <w:szCs w:val="20"/>
                <w:lang w:val="en-US" w:eastAsia="es-ES_tradnl"/>
              </w:rPr>
              <w:t>pathways. Binds to a large number of partners, usually by recognition of a phosphoserine or phosphothreonine motif. Binding generally results in the modulation of the activity of the binding partner. When bound to KRT17, regulates</w:t>
            </w:r>
          </w:p>
          <w:p w:rsidR="00795A61" w:rsidRPr="001C1EAD" w:rsidRDefault="00795A61" w:rsidP="00881758">
            <w:pPr>
              <w:spacing w:after="0" w:line="240" w:lineRule="auto"/>
              <w:rPr>
                <w:rFonts w:ascii="Times" w:eastAsia="Calibri" w:hAnsi="Times"/>
                <w:sz w:val="20"/>
                <w:szCs w:val="20"/>
                <w:lang w:val="en-US" w:eastAsia="es-ES_tradnl"/>
              </w:rPr>
            </w:pPr>
            <w:r w:rsidRPr="001C1EAD">
              <w:rPr>
                <w:rFonts w:ascii="Times" w:eastAsia="Calibri" w:hAnsi="Times"/>
                <w:sz w:val="20"/>
                <w:szCs w:val="20"/>
                <w:lang w:val="en-US" w:eastAsia="es-ES_tradnl"/>
              </w:rPr>
              <w:t>protein synthesis and epithelial cell growth by stimulating Akt/mTOR pathway (By similarity). p53-regulated inhibitor of G2/M progresión.</w:t>
            </w:r>
          </w:p>
          <w:p w:rsidR="00795A61" w:rsidRPr="001C1EAD" w:rsidRDefault="00795A61" w:rsidP="00881758">
            <w:pPr>
              <w:spacing w:after="0" w:line="240" w:lineRule="auto"/>
              <w:rPr>
                <w:rFonts w:ascii="Cambria" w:eastAsia="Calibri" w:hAnsi="Cambria"/>
                <w:sz w:val="18"/>
                <w:lang w:val="en-US" w:eastAsia="en-US"/>
              </w:rPr>
            </w:pP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lang w:eastAsia="en-US"/>
              </w:rPr>
            </w:pPr>
            <w:r w:rsidRPr="001C1EAD">
              <w:rPr>
                <w:rFonts w:ascii="Cambria" w:eastAsia="Calibri" w:hAnsi="Cambria"/>
                <w:sz w:val="18"/>
                <w:lang w:eastAsia="en-US"/>
              </w:rPr>
              <w:t>1</w:t>
            </w: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lang w:eastAsia="en-US"/>
              </w:rPr>
            </w:pPr>
            <w:r w:rsidRPr="001C1EAD">
              <w:rPr>
                <w:rFonts w:ascii="Cambria" w:eastAsia="Calibri" w:hAnsi="Cambria"/>
                <w:sz w:val="18"/>
                <w:lang w:eastAsia="en-US"/>
              </w:rPr>
              <w:t>64%</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TP73</w:t>
            </w:r>
          </w:p>
        </w:tc>
        <w:tc>
          <w:tcPr>
            <w:tcW w:w="0" w:type="auto"/>
            <w:shd w:val="clear" w:color="auto" w:fill="auto"/>
          </w:tcPr>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lang w:eastAsia="en-US"/>
              </w:rPr>
            </w:pPr>
            <w:r w:rsidRPr="001C1EAD">
              <w:rPr>
                <w:rFonts w:ascii="Cambria" w:eastAsia="Calibri" w:hAnsi="Cambria"/>
                <w:sz w:val="18"/>
                <w:lang w:eastAsia="en-US"/>
              </w:rPr>
              <w:t>1p36.3</w:t>
            </w:r>
          </w:p>
        </w:tc>
        <w:tc>
          <w:tcPr>
            <w:tcW w:w="0" w:type="auto"/>
            <w:shd w:val="clear" w:color="auto" w:fill="auto"/>
          </w:tcPr>
          <w:p w:rsidR="00795A61" w:rsidRPr="001C1EAD" w:rsidRDefault="00795A61" w:rsidP="00881758">
            <w:pPr>
              <w:spacing w:after="0" w:line="240" w:lineRule="auto"/>
              <w:ind w:left="21"/>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encodes a member of the p53 family of transcription factors involved in cellular responses to stress and development. It maps to a region on chromosome 1p36 that is frequently deleted in neuroblastoma and other tumors, and thought to contain multiple tumor suppressor genes. The demonstration that this gene is monoallelically expressed (likely from the maternal allele), supports the notion that it is a candidate gene for neuroblastoma. Many transcript variants resulting from alternative splicing and/or use of alternate promoters have been found for this gene, but the biological validity and the full-length nature of some variants have not been determined. </w:t>
            </w:r>
            <w:r w:rsidRPr="001C1EAD">
              <w:rPr>
                <w:rFonts w:ascii="Cambria" w:eastAsia="Calibri" w:hAnsi="Cambria"/>
                <w:sz w:val="18"/>
                <w:szCs w:val="20"/>
                <w:lang w:eastAsia="es-ES_tradnl"/>
              </w:rPr>
              <w:t>[provided by RefSeq, Feb 2011]</w:t>
            </w:r>
          </w:p>
          <w:p w:rsidR="00795A61" w:rsidRPr="001C1EAD" w:rsidRDefault="00795A61" w:rsidP="00881758">
            <w:pPr>
              <w:spacing w:after="0" w:line="240" w:lineRule="auto"/>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ind w:left="21"/>
              <w:jc w:val="center"/>
              <w:rPr>
                <w:rFonts w:ascii="Cambria" w:eastAsia="Calibri" w:hAnsi="Cambria"/>
                <w:sz w:val="18"/>
                <w:szCs w:val="20"/>
                <w:lang w:eastAsia="es-ES_tradnl"/>
              </w:rPr>
            </w:pPr>
            <w:r w:rsidRPr="001C1EAD">
              <w:rPr>
                <w:rFonts w:ascii="Cambria" w:eastAsia="Calibri" w:hAnsi="Cambria"/>
                <w:sz w:val="18"/>
                <w:szCs w:val="20"/>
                <w:lang w:eastAsia="es-ES_tradnl"/>
              </w:rPr>
              <w:t>21</w:t>
            </w:r>
          </w:p>
        </w:tc>
        <w:tc>
          <w:tcPr>
            <w:tcW w:w="0" w:type="auto"/>
            <w:shd w:val="clear" w:color="auto" w:fill="auto"/>
          </w:tcPr>
          <w:p w:rsidR="00795A61" w:rsidRPr="001C1EAD" w:rsidRDefault="00795A61" w:rsidP="00881758">
            <w:pPr>
              <w:spacing w:after="0" w:line="240" w:lineRule="auto"/>
              <w:ind w:left="21"/>
              <w:jc w:val="center"/>
              <w:rPr>
                <w:rFonts w:ascii="Cambria" w:eastAsia="Calibri" w:hAnsi="Cambria"/>
                <w:sz w:val="18"/>
                <w:szCs w:val="20"/>
                <w:lang w:eastAsia="es-ES_tradnl"/>
              </w:rPr>
            </w:pPr>
            <w:r w:rsidRPr="001C1EAD">
              <w:rPr>
                <w:rFonts w:ascii="Cambria" w:eastAsia="Calibri" w:hAnsi="Cambria"/>
                <w:sz w:val="18"/>
                <w:szCs w:val="20"/>
                <w:lang w:eastAsia="es-ES_tradnl"/>
              </w:rPr>
              <w:t>44%</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TP63</w:t>
            </w:r>
          </w:p>
        </w:tc>
        <w:tc>
          <w:tcPr>
            <w:tcW w:w="0" w:type="auto"/>
            <w:shd w:val="clear" w:color="auto" w:fill="auto"/>
          </w:tcPr>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AIS</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KET</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LMS</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NBP</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RHS</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p40</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p51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p63</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EEC3</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OFC8</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p73H</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p73L</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SHFM4</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TP53L</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TP73L</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p53CP</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lastRenderedPageBreak/>
              <w:t>TP53CP</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B(p51A)</w:t>
            </w:r>
          </w:p>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B(p51B)</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lang w:eastAsia="en-US"/>
              </w:rPr>
            </w:pPr>
            <w:r w:rsidRPr="001C1EAD">
              <w:rPr>
                <w:rFonts w:ascii="Cambria" w:eastAsia="Calibri" w:hAnsi="Cambria"/>
                <w:sz w:val="18"/>
                <w:lang w:eastAsia="en-US"/>
              </w:rPr>
              <w:lastRenderedPageBreak/>
              <w:t>3q28</w:t>
            </w:r>
          </w:p>
        </w:tc>
        <w:tc>
          <w:tcPr>
            <w:tcW w:w="0" w:type="auto"/>
            <w:shd w:val="clear" w:color="auto" w:fill="auto"/>
          </w:tcPr>
          <w:p w:rsidR="00795A61" w:rsidRPr="001C1EAD" w:rsidRDefault="00795A61" w:rsidP="00881758">
            <w:pPr>
              <w:spacing w:after="0"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encodes a member of the p53 family of transcription factors. An animal model, p63 -/- mice, has been useful in defining the role this protein plays in the development and maintenance of stratified epithelial tissues. p63 -/- mice have several developmental defects which include the lack of limbs and other tissues, such as teeth and mammary glands, which develop as a result of interactions between mesenchyme and epithelium. Mutations in this gene are associated with ectodermal dysplasia, and cleft lip/palate syndrome 3 (EEC3); split-hand/foot malformation 4 (SHFM4); ankyloblepharon-ectodermal defects-cleft lip/palate; ADULT syndrome (acro-dermato-ungual-lacrimal-tooth); limb-mammary syndrome; Rap-Hodgkin syndrome (RHS); and orofacial cleft 8. Both alternative splicing and the use of alternative promoters results in multiple transcript variants encoding different proteins. Many transcripts encoding different proteins have been reported but the biological validity and the full-length nature of these variants have not been determined. </w:t>
            </w:r>
            <w:r w:rsidRPr="001C1EAD">
              <w:rPr>
                <w:rFonts w:ascii="Cambria" w:eastAsia="Calibri" w:hAnsi="Cambria"/>
                <w:sz w:val="18"/>
                <w:szCs w:val="20"/>
                <w:lang w:eastAsia="es-ES_tradnl"/>
              </w:rPr>
              <w:t>[provided by RefSeq, Jul 2008]</w:t>
            </w:r>
          </w:p>
          <w:p w:rsidR="00795A61" w:rsidRPr="001C1EAD" w:rsidRDefault="00795A61" w:rsidP="00881758">
            <w:pPr>
              <w:spacing w:after="0" w:line="240" w:lineRule="auto"/>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32</w:t>
            </w: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24%</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CDKN1A</w:t>
            </w:r>
          </w:p>
        </w:tc>
        <w:tc>
          <w:tcPr>
            <w:tcW w:w="0" w:type="auto"/>
            <w:shd w:val="clear" w:color="auto" w:fill="auto"/>
          </w:tcPr>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P21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CIP1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SDI1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WAF1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CAP20</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CDKN1</w:t>
            </w:r>
          </w:p>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MDA-6</w:t>
            </w:r>
          </w:p>
          <w:p w:rsidR="00795A61" w:rsidRPr="001C1EAD" w:rsidRDefault="00795A61" w:rsidP="00881758">
            <w:pPr>
              <w:spacing w:after="0" w:line="240" w:lineRule="auto"/>
              <w:rPr>
                <w:rFonts w:ascii="Cambria" w:eastAsia="Calibri" w:hAnsi="Cambria"/>
                <w:sz w:val="18"/>
                <w:lang w:eastAsia="en-US"/>
              </w:rPr>
            </w:pPr>
            <w:r w:rsidRPr="001C1EAD">
              <w:rPr>
                <w:rFonts w:ascii="Cambria" w:eastAsia="Calibri" w:hAnsi="Cambria"/>
                <w:sz w:val="18"/>
                <w:lang w:eastAsia="en-US"/>
              </w:rPr>
              <w:t>p21CIP1</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lang w:eastAsia="en-US"/>
              </w:rPr>
            </w:pPr>
            <w:r w:rsidRPr="001C1EAD">
              <w:rPr>
                <w:rFonts w:ascii="Cambria" w:eastAsia="Calibri" w:hAnsi="Cambria"/>
                <w:sz w:val="18"/>
                <w:lang w:eastAsia="en-US"/>
              </w:rPr>
              <w:t>6p21.2</w:t>
            </w:r>
          </w:p>
        </w:tc>
        <w:tc>
          <w:tcPr>
            <w:tcW w:w="0" w:type="auto"/>
            <w:shd w:val="clear" w:color="auto" w:fill="auto"/>
          </w:tcPr>
          <w:p w:rsidR="00795A61" w:rsidRPr="001C1EAD" w:rsidRDefault="00795A61" w:rsidP="00881758">
            <w:pPr>
              <w:spacing w:after="0"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encodes a potent cyclin-dependent kinase inhibitor. The encoded protein binds to and inhibits the activity of cyclin-CDK2 or -CDK4 complexes, and thus functions as a regulator of cell cycle progression at G1. The expression of this gene is tightly controlled by the tumor suppressor protein p53, through which this protein mediates the p53-dependent cell cycle G1 phase arrest in response to a variety of stress stimuli. This protein can interact with proliferating cell nuclear antigen (PCNA), a DNA polymerase accessory factor, and plays a regulatory role in S phase DNA replication and DNA damage repair. This protein was reported to be specifically cleaved by CASP3-like caspases, which thus leads to a dramatic activation of CDK2, and may be instrumental in the execution of apoptosis following caspase activation. Multiple alternatively spliced variants have been found for this gene. </w:t>
            </w:r>
            <w:r w:rsidRPr="001C1EAD">
              <w:rPr>
                <w:rFonts w:ascii="Cambria" w:eastAsia="Calibri" w:hAnsi="Cambria"/>
                <w:sz w:val="18"/>
                <w:szCs w:val="20"/>
                <w:lang w:eastAsia="es-ES_tradnl"/>
              </w:rPr>
              <w:t>[provided by RefSeq, Nov 2010]</w:t>
            </w:r>
          </w:p>
          <w:p w:rsidR="00795A61" w:rsidRPr="001C1EAD" w:rsidRDefault="00795A61" w:rsidP="00881758">
            <w:pPr>
              <w:spacing w:after="0" w:line="240" w:lineRule="auto"/>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5</w:t>
            </w: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34%</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BAK1</w:t>
            </w:r>
          </w:p>
        </w:tc>
        <w:tc>
          <w:tcPr>
            <w:tcW w:w="0" w:type="auto"/>
            <w:shd w:val="clear" w:color="auto" w:fill="auto"/>
          </w:tcPr>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BAK</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CDN1</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BCL2L7</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BAK-LIKE</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6p21.3</w:t>
            </w:r>
          </w:p>
        </w:tc>
        <w:tc>
          <w:tcPr>
            <w:tcW w:w="0" w:type="auto"/>
            <w:shd w:val="clear" w:color="auto" w:fill="auto"/>
          </w:tcPr>
          <w:p w:rsidR="00795A61" w:rsidRPr="001C1EAD" w:rsidRDefault="00795A61" w:rsidP="00881758">
            <w:pPr>
              <w:spacing w:after="0" w:line="240" w:lineRule="auto"/>
              <w:ind w:left="22"/>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The protein encoded by this gene belongs to the BCL2 protein family. BCL2 family members form oligomers or heterodimers and act as anti- or pro-apoptotic regulators that are involved in a wide variety of cellular activities. This protein localizes to mitochondria, and functions to induce apoptosis. It interacts with and accelerates the opening of the mitochondrial voltage-dependent anion channel, which leads to a loss in membrane potential and the release of cytochrome c. This protein also interacts with the tumor suppressor P53 after exposure to cell stress. </w:t>
            </w:r>
            <w:r w:rsidRPr="001C1EAD">
              <w:rPr>
                <w:rFonts w:ascii="Cambria" w:eastAsia="Calibri" w:hAnsi="Cambria"/>
                <w:sz w:val="18"/>
                <w:szCs w:val="20"/>
                <w:lang w:eastAsia="es-ES_tradnl"/>
              </w:rPr>
              <w:t>[provided by RefSeq, Jul 2008]</w:t>
            </w:r>
          </w:p>
          <w:p w:rsidR="00795A61" w:rsidRPr="001C1EAD" w:rsidRDefault="00795A61" w:rsidP="00881758">
            <w:pPr>
              <w:spacing w:after="0" w:line="240" w:lineRule="auto"/>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ind w:left="22"/>
              <w:jc w:val="center"/>
              <w:rPr>
                <w:rFonts w:ascii="Cambria" w:eastAsia="Calibri" w:hAnsi="Cambria"/>
                <w:sz w:val="18"/>
                <w:szCs w:val="20"/>
                <w:lang w:eastAsia="es-ES_tradnl"/>
              </w:rPr>
            </w:pPr>
            <w:r w:rsidRPr="001C1EAD">
              <w:rPr>
                <w:rFonts w:ascii="Cambria" w:eastAsia="Calibri" w:hAnsi="Cambria"/>
                <w:sz w:val="18"/>
                <w:szCs w:val="20"/>
                <w:lang w:eastAsia="es-ES_tradnl"/>
              </w:rPr>
              <w:t>6</w:t>
            </w:r>
          </w:p>
        </w:tc>
        <w:tc>
          <w:tcPr>
            <w:tcW w:w="0" w:type="auto"/>
            <w:shd w:val="clear" w:color="auto" w:fill="auto"/>
          </w:tcPr>
          <w:p w:rsidR="00795A61" w:rsidRPr="001C1EAD" w:rsidRDefault="00795A61" w:rsidP="00881758">
            <w:pPr>
              <w:spacing w:after="0" w:line="240" w:lineRule="auto"/>
              <w:ind w:left="22"/>
              <w:jc w:val="center"/>
              <w:rPr>
                <w:rFonts w:ascii="Cambria" w:eastAsia="Calibri" w:hAnsi="Cambria"/>
                <w:sz w:val="18"/>
                <w:szCs w:val="20"/>
                <w:lang w:eastAsia="es-ES_tradnl"/>
              </w:rPr>
            </w:pPr>
            <w:r w:rsidRPr="001C1EAD">
              <w:rPr>
                <w:rFonts w:ascii="Cambria" w:eastAsia="Calibri" w:hAnsi="Cambria"/>
                <w:sz w:val="18"/>
                <w:szCs w:val="20"/>
                <w:lang w:eastAsia="es-ES_tradnl"/>
              </w:rPr>
              <w:t>68%</w:t>
            </w:r>
          </w:p>
        </w:tc>
      </w:tr>
      <w:tr w:rsidR="00795A61" w:rsidRPr="001C1EAD">
        <w:tc>
          <w:tcPr>
            <w:tcW w:w="0" w:type="auto"/>
            <w:shd w:val="clear" w:color="auto" w:fill="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MYC</w:t>
            </w:r>
          </w:p>
        </w:tc>
        <w:tc>
          <w:tcPr>
            <w:tcW w:w="0" w:type="auto"/>
            <w:shd w:val="clear" w:color="auto" w:fill="auto"/>
          </w:tcPr>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MRTL</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MYCC</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c-Myc</w:t>
            </w:r>
          </w:p>
          <w:p w:rsidR="00795A61" w:rsidRPr="001C1EAD" w:rsidRDefault="00795A61" w:rsidP="00881758">
            <w:pPr>
              <w:spacing w:after="0" w:line="240" w:lineRule="auto"/>
              <w:rPr>
                <w:rFonts w:ascii="Cambria" w:eastAsia="Calibri" w:hAnsi="Cambria"/>
                <w:sz w:val="18"/>
                <w:lang w:val="en-US" w:eastAsia="en-US"/>
              </w:rPr>
            </w:pPr>
            <w:r w:rsidRPr="001C1EAD">
              <w:rPr>
                <w:rFonts w:ascii="Cambria" w:eastAsia="Calibri" w:hAnsi="Cambria"/>
                <w:sz w:val="18"/>
                <w:lang w:val="en-US" w:eastAsia="en-US"/>
              </w:rPr>
              <w:t>bHLHe39</w:t>
            </w:r>
          </w:p>
        </w:tc>
        <w:tc>
          <w:tcPr>
            <w:tcW w:w="0" w:type="auto"/>
            <w:shd w:val="clear" w:color="auto" w:fill="auto"/>
          </w:tcPr>
          <w:p w:rsidR="00795A61" w:rsidRPr="001C1EAD" w:rsidRDefault="00795A61" w:rsidP="00881758">
            <w:pPr>
              <w:spacing w:after="0"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8q24.21</w:t>
            </w:r>
          </w:p>
          <w:p w:rsidR="00795A61" w:rsidRPr="001C1EAD" w:rsidRDefault="00795A61" w:rsidP="00881758">
            <w:pPr>
              <w:spacing w:after="0" w:line="240" w:lineRule="auto"/>
              <w:jc w:val="both"/>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The protein encoded by this gene is a multifunctional, nuclear phosphoprotein that plays a role in cell cycle progression, apoptosis and cellular transformation. It functions as a transcription factor that regulates transcription of specific target genes. Mutations, overexpression, rearrangement and translocation of this gene have been associated with a variety of hematopoietic tumors, leukemias and lymphomas, including Burkitt lymphoma. There is evidence to show that alternative translation initiations from an upstream, in-frame non-AUG (CUG) and a downstream AUG start site result in the production of two isoforms with distinct N-termini. The synthesis of non-AUG initiated protein is suppressed in Burkitt's lymphomas, suggesting its importance in the normal function of this gene. </w:t>
            </w:r>
            <w:r w:rsidRPr="001C1EAD">
              <w:rPr>
                <w:rFonts w:ascii="Cambria" w:eastAsia="Calibri" w:hAnsi="Cambria"/>
                <w:sz w:val="18"/>
                <w:szCs w:val="20"/>
                <w:lang w:eastAsia="es-ES_tradnl"/>
              </w:rPr>
              <w:t>[provided by RefSeq, Jul 2008]</w:t>
            </w:r>
          </w:p>
          <w:p w:rsidR="00795A61" w:rsidRPr="001C1EAD" w:rsidRDefault="00795A61" w:rsidP="00881758">
            <w:pPr>
              <w:spacing w:after="0" w:line="240" w:lineRule="auto"/>
              <w:rPr>
                <w:rFonts w:ascii="Cambria" w:eastAsia="Calibri" w:hAnsi="Cambria"/>
                <w:sz w:val="18"/>
                <w:lang w:eastAsia="en-US"/>
              </w:rPr>
            </w:pP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4</w:t>
            </w:r>
          </w:p>
        </w:tc>
        <w:tc>
          <w:tcPr>
            <w:tcW w:w="0" w:type="auto"/>
            <w:shd w:val="clear" w:color="auto" w:fill="auto"/>
          </w:tcPr>
          <w:p w:rsidR="00795A61" w:rsidRPr="001C1EAD" w:rsidRDefault="00795A61" w:rsidP="00881758">
            <w:pPr>
              <w:spacing w:after="0"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21%</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FAS</w:t>
            </w:r>
          </w:p>
        </w:tc>
        <w:tc>
          <w:tcPr>
            <w:tcW w:w="0" w:type="auto"/>
          </w:tcPr>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APT1</w:t>
            </w:r>
          </w:p>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CD95</w:t>
            </w:r>
          </w:p>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FAS1</w:t>
            </w:r>
          </w:p>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APO-1</w:t>
            </w:r>
          </w:p>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FASTM</w:t>
            </w:r>
          </w:p>
          <w:p w:rsidR="00795A61" w:rsidRPr="001C1EAD" w:rsidRDefault="00795A61" w:rsidP="00881758">
            <w:pPr>
              <w:spacing w:before="2" w:after="2" w:line="240" w:lineRule="auto"/>
              <w:rPr>
                <w:rFonts w:ascii="Cambria" w:eastAsia="Calibri" w:hAnsi="Cambria"/>
                <w:sz w:val="18"/>
                <w:lang w:val="en-US" w:eastAsia="en-US"/>
              </w:rPr>
            </w:pPr>
            <w:r w:rsidRPr="001C1EAD">
              <w:rPr>
                <w:rFonts w:ascii="Cambria" w:eastAsia="Calibri" w:hAnsi="Cambria"/>
                <w:sz w:val="18"/>
                <w:lang w:val="en-US" w:eastAsia="en-US"/>
              </w:rPr>
              <w:t>ALPS1A</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TNFRSF6</w:t>
            </w:r>
          </w:p>
        </w:tc>
        <w:tc>
          <w:tcPr>
            <w:tcW w:w="0" w:type="auto"/>
          </w:tcPr>
          <w:p w:rsidR="00795A61" w:rsidRPr="001C1EAD" w:rsidRDefault="00795A61" w:rsidP="00881758">
            <w:pPr>
              <w:spacing w:before="2" w:after="2" w:line="240" w:lineRule="auto"/>
              <w:jc w:val="both"/>
              <w:rPr>
                <w:rFonts w:ascii="Cambria" w:eastAsia="Calibri" w:hAnsi="Cambria"/>
                <w:sz w:val="18"/>
                <w:lang w:eastAsia="en-US"/>
              </w:rPr>
            </w:pPr>
            <w:r w:rsidRPr="001C1EAD">
              <w:rPr>
                <w:rFonts w:ascii="Cambria" w:eastAsia="Calibri" w:hAnsi="Cambria"/>
                <w:sz w:val="18"/>
                <w:lang w:eastAsia="en-US"/>
              </w:rPr>
              <w:t>10q24.1</w:t>
            </w:r>
          </w:p>
        </w:tc>
        <w:tc>
          <w:tcPr>
            <w:tcW w:w="0" w:type="auto"/>
          </w:tcPr>
          <w:p w:rsidR="00795A61" w:rsidRPr="001C1EAD" w:rsidRDefault="00795A61" w:rsidP="00881758">
            <w:pPr>
              <w:spacing w:before="2" w:after="2" w:line="240" w:lineRule="auto"/>
              <w:ind w:left="23"/>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The protein encoded by this gene is a member of the TNF-receptor superfamily. This receptor contains a death domain. It has been shown to play a central role in the physiological regulation of programmed cell death, and has been implicated in the pathogenesis of various malignancies and diseases of the immune system. The interaction of this receptor with its ligand allows the formation of a death-inducing signaling complex that includes Fas-associated death domain protein (FADD), caspase 8, and caspase 10. The autoproteolytic processing of the caspases in the complex triggers a downstream caspase cascade, and leads to apoptosis. This receptor has been also shown to activate NF-kappaB, MAPK3/ERK1, and MAPK8/JNK, and is found to be involved in transducing the proliferating signals in normal diploid fibroblast and T cells. Several alternatively spliced transcript variants have been described, some of which are candidates for nonsense-mediated mRNA decay (NMD). The isoforms lacking the transmembrane domain may negatively regulate the apoptosis mediated by the full length isoform. </w:t>
            </w:r>
            <w:r w:rsidRPr="001C1EAD">
              <w:rPr>
                <w:rFonts w:ascii="Cambria" w:eastAsia="Calibri" w:hAnsi="Cambria"/>
                <w:sz w:val="18"/>
                <w:szCs w:val="20"/>
                <w:lang w:eastAsia="es-ES_tradnl"/>
              </w:rPr>
              <w:t>[provided by RefSeq, Mar 2011]</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ind w:left="23"/>
              <w:jc w:val="center"/>
              <w:rPr>
                <w:rFonts w:ascii="Cambria" w:eastAsia="Calibri" w:hAnsi="Cambria"/>
                <w:sz w:val="18"/>
                <w:szCs w:val="20"/>
                <w:lang w:eastAsia="es-ES_tradnl"/>
              </w:rPr>
            </w:pPr>
            <w:r w:rsidRPr="001C1EAD">
              <w:rPr>
                <w:rFonts w:ascii="Cambria" w:eastAsia="Calibri" w:hAnsi="Cambria"/>
                <w:sz w:val="18"/>
                <w:szCs w:val="20"/>
                <w:lang w:eastAsia="es-ES_tradnl"/>
              </w:rPr>
              <w:t>10</w:t>
            </w:r>
          </w:p>
        </w:tc>
        <w:tc>
          <w:tcPr>
            <w:tcW w:w="0" w:type="auto"/>
          </w:tcPr>
          <w:p w:rsidR="00795A61" w:rsidRPr="001C1EAD" w:rsidRDefault="00795A61" w:rsidP="00881758">
            <w:pPr>
              <w:spacing w:before="2" w:after="2" w:line="240" w:lineRule="auto"/>
              <w:ind w:left="23"/>
              <w:jc w:val="center"/>
              <w:rPr>
                <w:rFonts w:ascii="Cambria" w:eastAsia="Calibri" w:hAnsi="Cambria"/>
                <w:sz w:val="18"/>
                <w:szCs w:val="20"/>
                <w:lang w:eastAsia="es-ES_tradnl"/>
              </w:rPr>
            </w:pPr>
            <w:r w:rsidRPr="001C1EAD">
              <w:rPr>
                <w:rFonts w:ascii="Cambria" w:eastAsia="Calibri" w:hAnsi="Cambria"/>
                <w:sz w:val="18"/>
                <w:szCs w:val="20"/>
                <w:lang w:eastAsia="es-ES_tradnl"/>
              </w:rPr>
              <w:t>72%</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TP53AIP1</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P53AIP1</w:t>
            </w:r>
          </w:p>
        </w:tc>
        <w:tc>
          <w:tcPr>
            <w:tcW w:w="0" w:type="auto"/>
          </w:tcPr>
          <w:p w:rsidR="00795A61" w:rsidRPr="001C1EAD" w:rsidRDefault="00795A61" w:rsidP="00881758">
            <w:pPr>
              <w:spacing w:before="2" w:after="2" w:line="240" w:lineRule="auto"/>
              <w:jc w:val="both"/>
              <w:rPr>
                <w:rFonts w:ascii="Cambria" w:eastAsia="Calibri" w:hAnsi="Cambria"/>
                <w:sz w:val="18"/>
                <w:lang w:eastAsia="en-US"/>
              </w:rPr>
            </w:pPr>
            <w:r w:rsidRPr="001C1EAD">
              <w:rPr>
                <w:rFonts w:ascii="Cambria" w:eastAsia="Calibri" w:hAnsi="Cambria"/>
                <w:sz w:val="18"/>
                <w:lang w:eastAsia="en-US"/>
              </w:rPr>
              <w:t>11q24</w:t>
            </w:r>
          </w:p>
        </w:tc>
        <w:tc>
          <w:tcPr>
            <w:tcW w:w="0" w:type="auto"/>
          </w:tcPr>
          <w:p w:rsidR="00795A61" w:rsidRPr="001C1EAD" w:rsidRDefault="00795A61" w:rsidP="00881758">
            <w:pPr>
              <w:spacing w:before="2" w:after="2"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is specifically expressed in the thymus, and encodes a protein that is localized to the mitochondrion. </w:t>
            </w:r>
            <w:r w:rsidRPr="001C1EAD">
              <w:rPr>
                <w:rFonts w:ascii="Cambria" w:eastAsia="Calibri" w:hAnsi="Cambria"/>
                <w:sz w:val="18"/>
                <w:szCs w:val="20"/>
                <w:lang w:val="en-US" w:eastAsia="es-ES_tradnl"/>
              </w:rPr>
              <w:lastRenderedPageBreak/>
              <w:t xml:space="preserve">The expression of this gene is inducible by p53, and it is thought to play an important role in mediating p53-dependent apoptosis. Alternatively spliced transcript variants encoding different isoforms have been described for this gene. </w:t>
            </w:r>
            <w:r w:rsidRPr="001C1EAD">
              <w:rPr>
                <w:rFonts w:ascii="Cambria" w:eastAsia="Calibri" w:hAnsi="Cambria"/>
                <w:sz w:val="18"/>
                <w:szCs w:val="20"/>
                <w:lang w:eastAsia="es-ES_tradnl"/>
              </w:rPr>
              <w:t>[provided by RefSeq, Oct 2011]</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lastRenderedPageBreak/>
              <w:t>7</w:t>
            </w: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50%</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MDM2</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HDMX</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hdm2</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ACTFS</w:t>
            </w:r>
          </w:p>
        </w:tc>
        <w:tc>
          <w:tcPr>
            <w:tcW w:w="0" w:type="auto"/>
          </w:tcPr>
          <w:p w:rsidR="00795A61" w:rsidRPr="001C1EAD" w:rsidRDefault="00795A61" w:rsidP="00881758">
            <w:pPr>
              <w:spacing w:before="2" w:after="2"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12q14.3-q15</w:t>
            </w:r>
          </w:p>
          <w:p w:rsidR="00795A61" w:rsidRPr="001C1EAD" w:rsidRDefault="00795A61" w:rsidP="00881758">
            <w:pPr>
              <w:spacing w:before="2" w:after="2" w:line="240" w:lineRule="auto"/>
              <w:jc w:val="both"/>
              <w:rPr>
                <w:rFonts w:ascii="Cambria" w:eastAsia="Calibri" w:hAnsi="Cambria"/>
                <w:sz w:val="18"/>
                <w:lang w:eastAsia="en-US"/>
              </w:rPr>
            </w:pPr>
          </w:p>
        </w:tc>
        <w:tc>
          <w:tcPr>
            <w:tcW w:w="0" w:type="auto"/>
          </w:tcPr>
          <w:p w:rsidR="00795A61" w:rsidRPr="001C1EAD" w:rsidRDefault="00795A61" w:rsidP="00881758">
            <w:pPr>
              <w:spacing w:before="2" w:after="2"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encodes a nuclear-localized E3 ubiquitin ligase. The encoded protein can promote tumor formation by targeting tumor suppressor proteins, such as p53, for proteasomal degradation. This gene is itself transcriptionally-regulated by p53. Overexpression or amplification of this locus is detected in a variety of different cancers. There is a pseudogene for this gene on chromosome 2. Alternative splicing results in a multitude of transcript variants, many of which may be expressed only in tumor cells. </w:t>
            </w:r>
            <w:r w:rsidRPr="001C1EAD">
              <w:rPr>
                <w:rFonts w:ascii="Cambria" w:eastAsia="Calibri" w:hAnsi="Cambria"/>
                <w:sz w:val="18"/>
                <w:szCs w:val="20"/>
                <w:lang w:eastAsia="es-ES_tradnl"/>
              </w:rPr>
              <w:t>[provided by RefSeq, Jun 2013]</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5</w:t>
            </w: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69%</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IGF1R</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IGFR</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CD221</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IGFIR</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JTK13</w:t>
            </w:r>
          </w:p>
        </w:tc>
        <w:tc>
          <w:tcPr>
            <w:tcW w:w="0" w:type="auto"/>
          </w:tcPr>
          <w:p w:rsidR="00795A61" w:rsidRPr="001C1EAD" w:rsidRDefault="00795A61" w:rsidP="00881758">
            <w:pPr>
              <w:spacing w:before="2" w:after="2"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15q26.3</w:t>
            </w:r>
          </w:p>
          <w:p w:rsidR="00795A61" w:rsidRPr="001C1EAD" w:rsidRDefault="00795A61" w:rsidP="00881758">
            <w:pPr>
              <w:spacing w:before="2" w:after="2" w:line="240" w:lineRule="auto"/>
              <w:jc w:val="both"/>
              <w:rPr>
                <w:rFonts w:ascii="Cambria" w:eastAsia="Calibri" w:hAnsi="Cambria"/>
                <w:sz w:val="18"/>
                <w:lang w:eastAsia="en-US"/>
              </w:rPr>
            </w:pPr>
          </w:p>
        </w:tc>
        <w:tc>
          <w:tcPr>
            <w:tcW w:w="0" w:type="auto"/>
          </w:tcPr>
          <w:p w:rsidR="00795A61" w:rsidRPr="001C1EAD" w:rsidRDefault="00795A61" w:rsidP="00881758">
            <w:pPr>
              <w:spacing w:before="2" w:after="2" w:line="240" w:lineRule="auto"/>
              <w:ind w:left="6"/>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receptor binds insulin-like growth factor with a high affinity. It has tyrosine kinase activity. The insulin-like growth factor I receptor plays a critical role in transformation events. Cleavage of the precursor generates alpha and beta subunits. It is highly overexpressed in most malignant tissues where it functions as an anti-apoptotic agent by enhancing cell survival. </w:t>
            </w:r>
            <w:r w:rsidRPr="001C1EAD">
              <w:rPr>
                <w:rFonts w:ascii="Cambria" w:eastAsia="Calibri" w:hAnsi="Cambria"/>
                <w:sz w:val="18"/>
                <w:szCs w:val="20"/>
                <w:lang w:eastAsia="es-ES_tradnl"/>
              </w:rPr>
              <w:t>[provided by RefSeq, Jul 2008]</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ind w:left="6"/>
              <w:jc w:val="center"/>
              <w:rPr>
                <w:rFonts w:ascii="Cambria" w:eastAsia="Calibri" w:hAnsi="Cambria"/>
                <w:sz w:val="18"/>
                <w:szCs w:val="20"/>
                <w:lang w:eastAsia="es-ES_tradnl"/>
              </w:rPr>
            </w:pPr>
            <w:r w:rsidRPr="001C1EAD">
              <w:rPr>
                <w:rFonts w:ascii="Cambria" w:eastAsia="Calibri" w:hAnsi="Cambria"/>
                <w:sz w:val="18"/>
                <w:szCs w:val="20"/>
                <w:lang w:eastAsia="es-ES_tradnl"/>
              </w:rPr>
              <w:t>52</w:t>
            </w:r>
          </w:p>
        </w:tc>
        <w:tc>
          <w:tcPr>
            <w:tcW w:w="0" w:type="auto"/>
          </w:tcPr>
          <w:p w:rsidR="00795A61" w:rsidRPr="001C1EAD" w:rsidRDefault="00795A61" w:rsidP="00881758">
            <w:pPr>
              <w:spacing w:before="2" w:after="2" w:line="240" w:lineRule="auto"/>
              <w:ind w:left="6"/>
              <w:jc w:val="center"/>
              <w:rPr>
                <w:rFonts w:ascii="Cambria" w:eastAsia="Calibri" w:hAnsi="Cambria"/>
                <w:sz w:val="18"/>
                <w:szCs w:val="20"/>
                <w:lang w:eastAsia="es-ES_tradnl"/>
              </w:rPr>
            </w:pPr>
            <w:r w:rsidRPr="001C1EAD">
              <w:rPr>
                <w:rFonts w:ascii="Cambria" w:eastAsia="Calibri" w:hAnsi="Cambria"/>
                <w:sz w:val="18"/>
                <w:szCs w:val="20"/>
                <w:lang w:eastAsia="es-ES_tradnl"/>
              </w:rPr>
              <w:t>25%</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TP53</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P53</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BCC7</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LFS1</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TRP53</w:t>
            </w:r>
          </w:p>
        </w:tc>
        <w:tc>
          <w:tcPr>
            <w:tcW w:w="0" w:type="auto"/>
          </w:tcPr>
          <w:p w:rsidR="00795A61" w:rsidRPr="001C1EAD" w:rsidRDefault="00795A61" w:rsidP="00881758">
            <w:pPr>
              <w:spacing w:before="2" w:after="2" w:line="240" w:lineRule="auto"/>
              <w:jc w:val="both"/>
              <w:rPr>
                <w:rFonts w:ascii="Cambria" w:eastAsia="Calibri" w:hAnsi="Cambria"/>
                <w:sz w:val="18"/>
                <w:lang w:eastAsia="en-US"/>
              </w:rPr>
            </w:pPr>
            <w:r w:rsidRPr="001C1EAD">
              <w:rPr>
                <w:rFonts w:ascii="Cambria" w:eastAsia="Calibri" w:hAnsi="Cambria"/>
                <w:sz w:val="18"/>
                <w:lang w:eastAsia="en-US"/>
              </w:rPr>
              <w:t>17p13.1</w:t>
            </w:r>
          </w:p>
        </w:tc>
        <w:tc>
          <w:tcPr>
            <w:tcW w:w="0" w:type="auto"/>
          </w:tcPr>
          <w:p w:rsidR="00795A61" w:rsidRPr="001C1EAD" w:rsidRDefault="00795A61" w:rsidP="00881758">
            <w:pPr>
              <w:spacing w:before="2" w:after="2"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encodes a tumor suppressor protein containing transcriptional activation, DNA binding, and oligomerization domains. The encoded protein responds to diverse cellular stresses to regulate expression of target genes, thereby inducing cell cycle arrest, apoptosis, senescence, DNA repair, or changes in metabolism. Mutations in this gene are associated with a variety of human cancers, including hereditary cancers such as Li-Fraumeni syndrome. Alternative splicing of this gene and the use of alternate promoters result in multiple transcript variants and isoforms. Additional isoforms have also been shown to result from the use of alternate translation initiation codons (PMIDs: 12032546, 20937277). </w:t>
            </w:r>
            <w:r w:rsidRPr="001C1EAD">
              <w:rPr>
                <w:rFonts w:ascii="Cambria" w:eastAsia="Calibri" w:hAnsi="Cambria"/>
                <w:sz w:val="18"/>
                <w:szCs w:val="20"/>
                <w:lang w:eastAsia="es-ES_tradnl"/>
              </w:rPr>
              <w:t>[provided by RefSeq, Feb 2013]</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7</w:t>
            </w: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38%</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BIRC5</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API4</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EPR-1</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Survivin</w:t>
            </w:r>
          </w:p>
        </w:tc>
        <w:tc>
          <w:tcPr>
            <w:tcW w:w="0" w:type="auto"/>
          </w:tcPr>
          <w:p w:rsidR="00795A61" w:rsidRPr="001C1EAD" w:rsidRDefault="00795A61" w:rsidP="00881758">
            <w:pPr>
              <w:spacing w:before="2" w:after="2"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17q25</w:t>
            </w:r>
          </w:p>
        </w:tc>
        <w:tc>
          <w:tcPr>
            <w:tcW w:w="0" w:type="auto"/>
          </w:tcPr>
          <w:p w:rsidR="00795A61" w:rsidRPr="001C1EAD" w:rsidRDefault="00795A61" w:rsidP="00881758">
            <w:pPr>
              <w:spacing w:before="2" w:after="2" w:line="240" w:lineRule="auto"/>
              <w:ind w:left="6"/>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This gene is a member of the inhibitor of apoptosis (IAP) gene family, which encode negative regulatory proteins that prevent apoptotic cell death. IAP family members usually contain multiple baculovirus IAP repeat (BIR) domains, but this gene encodes proteins with only a single BIR domain. The encoded proteins also lack a C-terminus RING finger domain. Gene expression is high during fetal development and in most tumors, yet low in adult tissues. Alternatively spliced transcript variants encoding distinct isoforms have been found for this gene. </w:t>
            </w:r>
            <w:r w:rsidRPr="001C1EAD">
              <w:rPr>
                <w:rFonts w:ascii="Cambria" w:eastAsia="Calibri" w:hAnsi="Cambria"/>
                <w:sz w:val="18"/>
                <w:szCs w:val="20"/>
                <w:lang w:eastAsia="es-ES_tradnl"/>
              </w:rPr>
              <w:t>[provided by RefSeq, Jun 2011]</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ind w:left="6"/>
              <w:jc w:val="center"/>
              <w:rPr>
                <w:rFonts w:ascii="Cambria" w:eastAsia="Calibri" w:hAnsi="Cambria"/>
                <w:sz w:val="18"/>
                <w:szCs w:val="20"/>
                <w:lang w:eastAsia="es-ES_tradnl"/>
              </w:rPr>
            </w:pPr>
            <w:r w:rsidRPr="001C1EAD">
              <w:rPr>
                <w:rFonts w:ascii="Cambria" w:eastAsia="Calibri" w:hAnsi="Cambria"/>
                <w:sz w:val="18"/>
                <w:szCs w:val="20"/>
                <w:lang w:eastAsia="es-ES_tradnl"/>
              </w:rPr>
              <w:t>6</w:t>
            </w:r>
          </w:p>
        </w:tc>
        <w:tc>
          <w:tcPr>
            <w:tcW w:w="0" w:type="auto"/>
          </w:tcPr>
          <w:p w:rsidR="00795A61" w:rsidRPr="001C1EAD" w:rsidRDefault="00795A61" w:rsidP="00881758">
            <w:pPr>
              <w:spacing w:before="2" w:after="2" w:line="240" w:lineRule="auto"/>
              <w:ind w:left="6"/>
              <w:jc w:val="center"/>
              <w:rPr>
                <w:rFonts w:ascii="Cambria" w:eastAsia="Calibri" w:hAnsi="Cambria"/>
                <w:sz w:val="18"/>
                <w:szCs w:val="20"/>
                <w:lang w:eastAsia="es-ES_tradnl"/>
              </w:rPr>
            </w:pPr>
            <w:r w:rsidRPr="001C1EAD">
              <w:rPr>
                <w:rFonts w:ascii="Cambria" w:eastAsia="Calibri" w:hAnsi="Cambria"/>
                <w:sz w:val="18"/>
                <w:szCs w:val="20"/>
                <w:lang w:eastAsia="es-ES_tradnl"/>
              </w:rPr>
              <w:t>51%</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PMAIP1</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APR</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NOXA</w:t>
            </w:r>
          </w:p>
        </w:tc>
        <w:tc>
          <w:tcPr>
            <w:tcW w:w="0" w:type="auto"/>
          </w:tcPr>
          <w:p w:rsidR="00795A61" w:rsidRPr="001C1EAD" w:rsidRDefault="00795A61" w:rsidP="00881758">
            <w:pPr>
              <w:spacing w:before="2" w:after="2"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18q21.32</w:t>
            </w:r>
          </w:p>
          <w:p w:rsidR="00795A61" w:rsidRPr="001C1EAD" w:rsidRDefault="00795A61" w:rsidP="00881758">
            <w:pPr>
              <w:spacing w:before="2" w:after="2" w:line="240" w:lineRule="auto"/>
              <w:jc w:val="both"/>
              <w:rPr>
                <w:rFonts w:ascii="Cambria" w:eastAsia="Calibri" w:hAnsi="Cambria"/>
                <w:sz w:val="18"/>
                <w:lang w:eastAsia="en-US"/>
              </w:rPr>
            </w:pPr>
          </w:p>
        </w:tc>
        <w:tc>
          <w:tcPr>
            <w:tcW w:w="0" w:type="auto"/>
          </w:tcPr>
          <w:p w:rsidR="00795A61" w:rsidRPr="001C1EAD" w:rsidRDefault="00795A61" w:rsidP="00881758">
            <w:pPr>
              <w:spacing w:before="2" w:after="2" w:line="240" w:lineRule="auto"/>
              <w:rPr>
                <w:rFonts w:ascii="Cambria" w:eastAsia="Calibri" w:hAnsi="Cambria"/>
                <w:sz w:val="18"/>
                <w:szCs w:val="20"/>
                <w:lang w:val="en-US" w:eastAsia="es-ES_tradnl"/>
              </w:rPr>
            </w:pPr>
            <w:r w:rsidRPr="001C1EAD">
              <w:rPr>
                <w:rFonts w:ascii="Cambria" w:eastAsia="Calibri" w:hAnsi="Cambria"/>
                <w:sz w:val="18"/>
                <w:szCs w:val="20"/>
                <w:lang w:val="en-US" w:eastAsia="es-ES_tradnl"/>
              </w:rPr>
              <w:t>Promotes activation of caspases and apoptosis. Promotes mitochondrial membrane changes and efflux of apoptogenic proteins from the mitochondria. Contributes to p53/TP53-dependent apoptosis after radiation exposure. Promotes proteasomal degradation of MCL1. Competes with BAK1 for binding to MCL1 and can displace BAK1 from its binding site on MCL1 (By similarity). Competes with BIM/BCL2L11 for binding to MCL1 and can displace BIM/BCL2L11 from its binding site on MCL1</w:t>
            </w:r>
          </w:p>
          <w:p w:rsidR="00795A61" w:rsidRPr="001C1EAD" w:rsidRDefault="00795A61" w:rsidP="00881758">
            <w:pPr>
              <w:spacing w:before="2" w:after="2" w:line="240" w:lineRule="auto"/>
              <w:rPr>
                <w:rFonts w:ascii="Cambria" w:eastAsia="Calibri" w:hAnsi="Cambria"/>
                <w:sz w:val="18"/>
                <w:lang w:val="en-US" w:eastAsia="en-US"/>
              </w:rPr>
            </w:pPr>
          </w:p>
        </w:tc>
        <w:tc>
          <w:tcPr>
            <w:tcW w:w="0" w:type="auto"/>
          </w:tcPr>
          <w:p w:rsidR="00795A61" w:rsidRPr="001C1EAD" w:rsidRDefault="00795A61" w:rsidP="00881758">
            <w:pPr>
              <w:spacing w:before="2" w:after="2" w:line="240" w:lineRule="auto"/>
              <w:jc w:val="center"/>
              <w:rPr>
                <w:rFonts w:ascii="Cambria" w:eastAsia="Calibri" w:hAnsi="Cambria"/>
                <w:sz w:val="18"/>
                <w:lang w:eastAsia="en-US"/>
              </w:rPr>
            </w:pPr>
            <w:r w:rsidRPr="001C1EAD">
              <w:rPr>
                <w:rFonts w:ascii="Cambria" w:eastAsia="Calibri" w:hAnsi="Cambria"/>
                <w:sz w:val="18"/>
                <w:lang w:eastAsia="en-US"/>
              </w:rPr>
              <w:t>6</w:t>
            </w:r>
          </w:p>
        </w:tc>
        <w:tc>
          <w:tcPr>
            <w:tcW w:w="0" w:type="auto"/>
          </w:tcPr>
          <w:p w:rsidR="00795A61" w:rsidRPr="001C1EAD" w:rsidRDefault="00795A61" w:rsidP="00881758">
            <w:pPr>
              <w:spacing w:before="2" w:after="2" w:line="240" w:lineRule="auto"/>
              <w:jc w:val="center"/>
              <w:rPr>
                <w:rFonts w:ascii="Cambria" w:eastAsia="Calibri" w:hAnsi="Cambria"/>
                <w:sz w:val="18"/>
                <w:lang w:eastAsia="en-US"/>
              </w:rPr>
            </w:pPr>
            <w:r w:rsidRPr="001C1EAD">
              <w:rPr>
                <w:rFonts w:ascii="Cambria" w:eastAsia="Calibri" w:hAnsi="Cambria"/>
                <w:sz w:val="18"/>
                <w:lang w:eastAsia="en-US"/>
              </w:rPr>
              <w:t>39%</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SERPINB5</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PI5</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Maspin</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jc w:val="both"/>
              <w:rPr>
                <w:rFonts w:ascii="Cambria" w:eastAsia="Calibri" w:hAnsi="Cambria"/>
                <w:sz w:val="18"/>
                <w:lang w:eastAsia="en-US"/>
              </w:rPr>
            </w:pPr>
            <w:r w:rsidRPr="001C1EAD">
              <w:rPr>
                <w:rFonts w:ascii="Cambria" w:eastAsia="Calibri" w:hAnsi="Cambria"/>
                <w:sz w:val="18"/>
                <w:lang w:eastAsia="en-US"/>
              </w:rPr>
              <w:t>18q21.33</w:t>
            </w:r>
          </w:p>
        </w:tc>
        <w:tc>
          <w:tcPr>
            <w:tcW w:w="0" w:type="auto"/>
          </w:tcPr>
          <w:p w:rsidR="00795A61" w:rsidRPr="001C1EAD" w:rsidRDefault="00795A61" w:rsidP="00881758">
            <w:pPr>
              <w:spacing w:before="2" w:after="2" w:line="240" w:lineRule="auto"/>
              <w:rPr>
                <w:rFonts w:eastAsia="Calibri"/>
                <w:sz w:val="18"/>
                <w:szCs w:val="20"/>
                <w:lang w:val="en-US" w:eastAsia="es-ES_tradnl"/>
              </w:rPr>
            </w:pPr>
            <w:r w:rsidRPr="001C1EAD">
              <w:rPr>
                <w:rFonts w:eastAsia="Calibri"/>
                <w:sz w:val="18"/>
                <w:szCs w:val="20"/>
                <w:lang w:val="en-US" w:eastAsia="es-ES_tradnl"/>
              </w:rPr>
              <w:t>Tumor suppressor. It blocks the growth, invasion, and metastatic properties of mammary tumors. As it does not undergo the S (stressed) to R (relaxed) conformational transition characteristic of active serpins, it exhibits no serine protease inhibitory activity</w:t>
            </w:r>
          </w:p>
          <w:p w:rsidR="00795A61" w:rsidRPr="001C1EAD" w:rsidRDefault="00795A61" w:rsidP="00881758">
            <w:pPr>
              <w:spacing w:before="2" w:after="2" w:line="240" w:lineRule="auto"/>
              <w:rPr>
                <w:rFonts w:ascii="Cambria" w:eastAsia="Calibri" w:hAnsi="Cambria"/>
                <w:sz w:val="18"/>
                <w:lang w:val="en-US" w:eastAsia="en-US"/>
              </w:rPr>
            </w:pPr>
          </w:p>
        </w:tc>
        <w:tc>
          <w:tcPr>
            <w:tcW w:w="0" w:type="auto"/>
          </w:tcPr>
          <w:p w:rsidR="00795A61" w:rsidRPr="001C1EAD" w:rsidRDefault="00795A61" w:rsidP="00881758">
            <w:pPr>
              <w:spacing w:before="2" w:after="2" w:line="240" w:lineRule="auto"/>
              <w:jc w:val="center"/>
              <w:rPr>
                <w:rFonts w:ascii="Cambria" w:eastAsia="Calibri" w:hAnsi="Cambria"/>
                <w:sz w:val="18"/>
                <w:lang w:eastAsia="en-US"/>
              </w:rPr>
            </w:pPr>
            <w:r w:rsidRPr="001C1EAD">
              <w:rPr>
                <w:rFonts w:ascii="Cambria" w:eastAsia="Calibri" w:hAnsi="Cambria"/>
                <w:sz w:val="18"/>
                <w:lang w:eastAsia="en-US"/>
              </w:rPr>
              <w:t>10</w:t>
            </w:r>
          </w:p>
        </w:tc>
        <w:tc>
          <w:tcPr>
            <w:tcW w:w="0" w:type="auto"/>
          </w:tcPr>
          <w:p w:rsidR="00795A61" w:rsidRPr="001C1EAD" w:rsidRDefault="00795A61" w:rsidP="00881758">
            <w:pPr>
              <w:spacing w:before="2" w:after="2" w:line="240" w:lineRule="auto"/>
              <w:jc w:val="center"/>
              <w:rPr>
                <w:rFonts w:ascii="Cambria" w:eastAsia="Calibri" w:hAnsi="Cambria"/>
                <w:sz w:val="18"/>
                <w:lang w:eastAsia="en-US"/>
              </w:rPr>
            </w:pPr>
            <w:r w:rsidRPr="001C1EAD">
              <w:rPr>
                <w:rFonts w:ascii="Cambria" w:eastAsia="Calibri" w:hAnsi="Cambria"/>
                <w:sz w:val="18"/>
                <w:lang w:eastAsia="en-US"/>
              </w:rPr>
              <w:t>83%</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BBC3</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JFY1</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lastRenderedPageBreak/>
              <w:t>PUMA</w:t>
            </w:r>
          </w:p>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JFY-1</w:t>
            </w:r>
          </w:p>
        </w:tc>
        <w:tc>
          <w:tcPr>
            <w:tcW w:w="0" w:type="auto"/>
          </w:tcPr>
          <w:p w:rsidR="00795A61" w:rsidRPr="001C1EAD" w:rsidRDefault="00795A61" w:rsidP="00881758">
            <w:pPr>
              <w:spacing w:before="2" w:after="2" w:line="240" w:lineRule="auto"/>
              <w:jc w:val="both"/>
              <w:rPr>
                <w:rFonts w:ascii="Cambria" w:eastAsia="Calibri" w:hAnsi="Cambria"/>
                <w:sz w:val="18"/>
                <w:lang w:eastAsia="en-US"/>
              </w:rPr>
            </w:pPr>
            <w:r w:rsidRPr="001C1EAD">
              <w:rPr>
                <w:rFonts w:ascii="Cambria" w:eastAsia="Calibri" w:hAnsi="Cambria"/>
                <w:sz w:val="18"/>
                <w:lang w:eastAsia="en-US"/>
              </w:rPr>
              <w:lastRenderedPageBreak/>
              <w:t>19q13.3-</w:t>
            </w:r>
            <w:r w:rsidRPr="001C1EAD">
              <w:rPr>
                <w:rFonts w:ascii="Cambria" w:eastAsia="Calibri" w:hAnsi="Cambria"/>
                <w:sz w:val="18"/>
                <w:lang w:eastAsia="en-US"/>
              </w:rPr>
              <w:lastRenderedPageBreak/>
              <w:t>q13.4</w:t>
            </w:r>
          </w:p>
        </w:tc>
        <w:tc>
          <w:tcPr>
            <w:tcW w:w="0" w:type="auto"/>
          </w:tcPr>
          <w:p w:rsidR="00795A61" w:rsidRPr="001C1EAD" w:rsidRDefault="00795A61" w:rsidP="00881758">
            <w:pPr>
              <w:spacing w:before="2" w:after="2" w:line="240" w:lineRule="auto"/>
              <w:rPr>
                <w:rFonts w:ascii="Cambria" w:eastAsia="Calibri" w:hAnsi="Cambria"/>
                <w:sz w:val="18"/>
                <w:szCs w:val="20"/>
                <w:lang w:val="en-US" w:eastAsia="es-ES_tradnl"/>
              </w:rPr>
            </w:pPr>
            <w:r w:rsidRPr="001C1EAD">
              <w:rPr>
                <w:rFonts w:ascii="Cambria" w:eastAsia="Calibri" w:hAnsi="Cambria"/>
                <w:sz w:val="18"/>
                <w:szCs w:val="20"/>
                <w:lang w:val="en-US" w:eastAsia="es-ES_tradnl"/>
              </w:rPr>
              <w:lastRenderedPageBreak/>
              <w:t>This gene encodes a member of the BCL-2 family of proteins. This family member belongs to the BH3-only pro-</w:t>
            </w:r>
            <w:r w:rsidRPr="001C1EAD">
              <w:rPr>
                <w:rFonts w:ascii="Cambria" w:eastAsia="Calibri" w:hAnsi="Cambria"/>
                <w:sz w:val="18"/>
                <w:szCs w:val="20"/>
                <w:lang w:val="en-US" w:eastAsia="es-ES_tradnl"/>
              </w:rPr>
              <w:lastRenderedPageBreak/>
              <w:t>apoptotic subclass. The protein cooperates with direct activator proteins to induce mitochondrial outer membrane permeabilization and apoptosis. It can bind to anti-apoptotic Bcl-2 family members to induce mitochondrial dysfunction and caspase activation. Because of its pro-apoptotic role, this gene is a potential drug target for cancer therapy and for tissue injury. Alternative splicing results in multiple transcript variants. [provided by RefSeq, Dec 2011]</w:t>
            </w:r>
          </w:p>
          <w:p w:rsidR="00795A61" w:rsidRPr="001C1EAD" w:rsidRDefault="00795A61" w:rsidP="00881758">
            <w:pPr>
              <w:spacing w:before="2" w:after="2" w:line="240" w:lineRule="auto"/>
              <w:rPr>
                <w:rFonts w:ascii="Cambria" w:eastAsia="Calibri" w:hAnsi="Cambria"/>
                <w:sz w:val="18"/>
                <w:lang w:val="en-US" w:eastAsia="en-US"/>
              </w:rPr>
            </w:pP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lastRenderedPageBreak/>
              <w:t>1</w:t>
            </w: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22%</w:t>
            </w:r>
          </w:p>
        </w:tc>
      </w:tr>
      <w:tr w:rsidR="00795A61" w:rsidRPr="001C1EAD">
        <w:tblPrEx>
          <w:tblLook w:val="04A0" w:firstRow="1" w:lastRow="0" w:firstColumn="1" w:lastColumn="0" w:noHBand="0" w:noVBand="1"/>
        </w:tblPrEx>
        <w:tc>
          <w:tcPr>
            <w:tcW w:w="0" w:type="auto"/>
          </w:tcPr>
          <w:p w:rsidR="00795A61" w:rsidRPr="001C1EAD" w:rsidRDefault="00795A61" w:rsidP="00881758">
            <w:pPr>
              <w:spacing w:before="2" w:after="2" w:line="240" w:lineRule="auto"/>
              <w:rPr>
                <w:rFonts w:ascii="Cambria" w:eastAsia="Calibri" w:hAnsi="Cambria"/>
                <w:i/>
                <w:sz w:val="18"/>
                <w:lang w:eastAsia="en-US"/>
              </w:rPr>
            </w:pPr>
            <w:r w:rsidRPr="001C1EAD">
              <w:rPr>
                <w:rFonts w:ascii="Cambria" w:eastAsia="Calibri" w:hAnsi="Cambria"/>
                <w:i/>
                <w:sz w:val="18"/>
                <w:lang w:eastAsia="en-US"/>
              </w:rPr>
              <w:t>BAX</w:t>
            </w:r>
          </w:p>
        </w:tc>
        <w:tc>
          <w:tcPr>
            <w:tcW w:w="0" w:type="auto"/>
          </w:tcPr>
          <w:p w:rsidR="00795A61" w:rsidRPr="001C1EAD" w:rsidRDefault="00795A61" w:rsidP="00881758">
            <w:pPr>
              <w:spacing w:before="2" w:after="2" w:line="240" w:lineRule="auto"/>
              <w:rPr>
                <w:rFonts w:ascii="Cambria" w:eastAsia="Calibri" w:hAnsi="Cambria"/>
                <w:sz w:val="18"/>
                <w:lang w:eastAsia="en-US"/>
              </w:rPr>
            </w:pPr>
            <w:r w:rsidRPr="001C1EAD">
              <w:rPr>
                <w:rFonts w:ascii="Cambria" w:eastAsia="Calibri" w:hAnsi="Cambria"/>
                <w:sz w:val="18"/>
                <w:lang w:eastAsia="en-US"/>
              </w:rPr>
              <w:t>BCL2L4</w:t>
            </w:r>
          </w:p>
        </w:tc>
        <w:tc>
          <w:tcPr>
            <w:tcW w:w="0" w:type="auto"/>
          </w:tcPr>
          <w:p w:rsidR="00795A61" w:rsidRPr="001C1EAD" w:rsidRDefault="00795A61" w:rsidP="00881758">
            <w:pPr>
              <w:spacing w:before="2" w:after="2" w:line="240" w:lineRule="auto"/>
              <w:jc w:val="both"/>
              <w:rPr>
                <w:rFonts w:ascii="Cambria" w:eastAsia="Calibri" w:hAnsi="Cambria"/>
                <w:sz w:val="18"/>
                <w:szCs w:val="20"/>
                <w:lang w:eastAsia="es-ES_tradnl"/>
              </w:rPr>
            </w:pPr>
            <w:r w:rsidRPr="001C1EAD">
              <w:rPr>
                <w:rFonts w:ascii="Cambria" w:eastAsia="Calibri" w:hAnsi="Cambria"/>
                <w:sz w:val="18"/>
                <w:szCs w:val="20"/>
                <w:lang w:eastAsia="es-ES_tradnl"/>
              </w:rPr>
              <w:t>19q13.3-q13.4</w:t>
            </w:r>
          </w:p>
          <w:p w:rsidR="00795A61" w:rsidRPr="001C1EAD" w:rsidRDefault="00795A61" w:rsidP="00881758">
            <w:pPr>
              <w:spacing w:before="2" w:after="2" w:line="240" w:lineRule="auto"/>
              <w:jc w:val="both"/>
              <w:rPr>
                <w:rFonts w:ascii="Cambria" w:eastAsia="Calibri" w:hAnsi="Cambria"/>
                <w:sz w:val="18"/>
                <w:lang w:eastAsia="en-US"/>
              </w:rPr>
            </w:pPr>
          </w:p>
        </w:tc>
        <w:tc>
          <w:tcPr>
            <w:tcW w:w="0" w:type="auto"/>
          </w:tcPr>
          <w:p w:rsidR="00795A61" w:rsidRPr="001C1EAD" w:rsidRDefault="00795A61" w:rsidP="00881758">
            <w:pPr>
              <w:spacing w:before="2" w:after="2" w:line="240" w:lineRule="auto"/>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The protein encoded by this gene belongs to the BCL2 protein family. BCL2 family members form hetero- or homodimers and act as anti- or pro-apoptotic regulators that are involved in a wide variety of cellular activities. This protein forms a heterodimer with BCL2, and functions as an apoptotic activator. This protein is reported to interact with, and increase the opening of, the mitochondrial voltage-dependent anion channel (VDAC), which leads to the loss in membrane potential and the release of cytochrome c. The expression of this gene is regulated by the tumor suppressor P53 and has been shown to be involved in P53-mediated apoptosis. Multiple alternatively spliced transcript variants, which encode different isoforms, have been reported for this gene. </w:t>
            </w:r>
            <w:r w:rsidRPr="001C1EAD">
              <w:rPr>
                <w:rFonts w:ascii="Cambria" w:eastAsia="Calibri" w:hAnsi="Cambria"/>
                <w:sz w:val="18"/>
                <w:szCs w:val="20"/>
                <w:lang w:eastAsia="es-ES_tradnl"/>
              </w:rPr>
              <w:t>[provided by RefSeq, Jul 2008]</w:t>
            </w:r>
          </w:p>
          <w:p w:rsidR="00795A61" w:rsidRPr="001C1EAD" w:rsidRDefault="00795A61" w:rsidP="00881758">
            <w:pPr>
              <w:spacing w:before="2" w:after="2" w:line="240" w:lineRule="auto"/>
              <w:rPr>
                <w:rFonts w:ascii="Cambria" w:eastAsia="Calibri" w:hAnsi="Cambria"/>
                <w:sz w:val="18"/>
                <w:lang w:eastAsia="en-US"/>
              </w:rPr>
            </w:pP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4</w:t>
            </w:r>
          </w:p>
        </w:tc>
        <w:tc>
          <w:tcPr>
            <w:tcW w:w="0" w:type="auto"/>
          </w:tcPr>
          <w:p w:rsidR="00795A61" w:rsidRPr="001C1EAD" w:rsidRDefault="00795A61" w:rsidP="00881758">
            <w:pPr>
              <w:spacing w:before="2" w:after="2" w:line="240" w:lineRule="auto"/>
              <w:jc w:val="center"/>
              <w:rPr>
                <w:rFonts w:ascii="Cambria" w:eastAsia="Calibri" w:hAnsi="Cambria"/>
                <w:sz w:val="18"/>
                <w:szCs w:val="20"/>
                <w:lang w:eastAsia="es-ES_tradnl"/>
              </w:rPr>
            </w:pPr>
            <w:r w:rsidRPr="001C1EAD">
              <w:rPr>
                <w:rFonts w:ascii="Cambria" w:eastAsia="Calibri" w:hAnsi="Cambria"/>
                <w:sz w:val="18"/>
                <w:szCs w:val="20"/>
                <w:lang w:eastAsia="es-ES_tradnl"/>
              </w:rPr>
              <w:t>33%</w:t>
            </w:r>
          </w:p>
        </w:tc>
      </w:tr>
      <w:tr w:rsidR="00795A61" w:rsidRPr="001C1EAD">
        <w:tblPrEx>
          <w:tblLook w:val="04A0" w:firstRow="1" w:lastRow="0" w:firstColumn="1" w:lastColumn="0" w:noHBand="0" w:noVBand="1"/>
        </w:tblPrEx>
        <w:tc>
          <w:tcPr>
            <w:tcW w:w="0" w:type="auto"/>
          </w:tcPr>
          <w:p w:rsidR="00795A61" w:rsidRPr="001C1EAD" w:rsidRDefault="00795A61" w:rsidP="00881758">
            <w:pPr>
              <w:spacing w:after="0" w:line="240" w:lineRule="auto"/>
              <w:rPr>
                <w:rFonts w:ascii="Cambria" w:eastAsia="Calibri" w:hAnsi="Cambria"/>
                <w:i/>
                <w:sz w:val="18"/>
                <w:lang w:eastAsia="en-US"/>
              </w:rPr>
            </w:pPr>
            <w:r w:rsidRPr="001C1EAD">
              <w:rPr>
                <w:rFonts w:ascii="Cambria" w:eastAsia="Calibri" w:hAnsi="Cambria"/>
                <w:i/>
                <w:sz w:val="18"/>
                <w:lang w:eastAsia="en-US"/>
              </w:rPr>
              <w:t>PCNA</w:t>
            </w:r>
          </w:p>
        </w:tc>
        <w:tc>
          <w:tcPr>
            <w:tcW w:w="0" w:type="auto"/>
          </w:tcPr>
          <w:p w:rsidR="00795A61" w:rsidRPr="001C1EAD" w:rsidRDefault="00795A61" w:rsidP="00881758">
            <w:pPr>
              <w:spacing w:after="0" w:line="240" w:lineRule="auto"/>
              <w:rPr>
                <w:rFonts w:ascii="Cambria" w:eastAsia="Calibri" w:hAnsi="Cambria"/>
                <w:sz w:val="18"/>
                <w:lang w:eastAsia="en-US"/>
              </w:rPr>
            </w:pPr>
          </w:p>
        </w:tc>
        <w:tc>
          <w:tcPr>
            <w:tcW w:w="0" w:type="auto"/>
          </w:tcPr>
          <w:p w:rsidR="00795A61" w:rsidRPr="001C1EAD" w:rsidRDefault="00795A61" w:rsidP="00881758">
            <w:pPr>
              <w:spacing w:after="0" w:line="240" w:lineRule="auto"/>
              <w:jc w:val="both"/>
              <w:rPr>
                <w:rFonts w:ascii="Cambria" w:eastAsia="Calibri" w:hAnsi="Cambria"/>
                <w:sz w:val="18"/>
                <w:lang w:eastAsia="en-US"/>
              </w:rPr>
            </w:pPr>
            <w:r w:rsidRPr="001C1EAD">
              <w:rPr>
                <w:rFonts w:ascii="Cambria" w:eastAsia="Calibri" w:hAnsi="Cambria"/>
                <w:sz w:val="18"/>
                <w:lang w:eastAsia="en-US"/>
              </w:rPr>
              <w:t>20pter-p12</w:t>
            </w:r>
          </w:p>
        </w:tc>
        <w:tc>
          <w:tcPr>
            <w:tcW w:w="0" w:type="auto"/>
          </w:tcPr>
          <w:p w:rsidR="00795A61" w:rsidRPr="001C1EAD" w:rsidRDefault="00795A61" w:rsidP="00881758">
            <w:pPr>
              <w:spacing w:after="0" w:line="240" w:lineRule="auto"/>
              <w:ind w:left="20"/>
              <w:rPr>
                <w:rFonts w:ascii="Cambria" w:eastAsia="Calibri" w:hAnsi="Cambria"/>
                <w:sz w:val="18"/>
                <w:szCs w:val="20"/>
                <w:lang w:eastAsia="es-ES_tradnl"/>
              </w:rPr>
            </w:pPr>
            <w:r w:rsidRPr="001C1EAD">
              <w:rPr>
                <w:rFonts w:ascii="Cambria" w:eastAsia="Calibri" w:hAnsi="Cambria"/>
                <w:sz w:val="18"/>
                <w:szCs w:val="20"/>
                <w:lang w:val="en-US" w:eastAsia="es-ES_tradnl"/>
              </w:rPr>
              <w:t xml:space="preserve">The protein encoded by this gene is found in the nucleus and is a cofactor of DNA polymerase delta. The encoded protein acts as a homotrimer and helps increase the processivity of leading strand synthesis during DNA replication. In response to DNA damage, this protein is ubiquitinated and is involved in the RAD6-dependent DNA repair pathway. Two transcript variants encoding the same protein have been found for this gene. Pseudogenes of this gene have been described on chromosome 4 and on the X chromosome. </w:t>
            </w:r>
            <w:r w:rsidRPr="001C1EAD">
              <w:rPr>
                <w:rFonts w:ascii="Cambria" w:eastAsia="Calibri" w:hAnsi="Cambria"/>
                <w:sz w:val="18"/>
                <w:szCs w:val="20"/>
                <w:lang w:eastAsia="es-ES_tradnl"/>
              </w:rPr>
              <w:t>[provided by RefSeq, Jul 2008]</w:t>
            </w:r>
          </w:p>
          <w:p w:rsidR="00795A61" w:rsidRPr="001C1EAD" w:rsidRDefault="00795A61" w:rsidP="00881758">
            <w:pPr>
              <w:spacing w:after="0" w:line="240" w:lineRule="auto"/>
              <w:rPr>
                <w:rFonts w:ascii="Cambria" w:eastAsia="Calibri" w:hAnsi="Cambria"/>
                <w:sz w:val="18"/>
                <w:lang w:eastAsia="en-US"/>
              </w:rPr>
            </w:pPr>
          </w:p>
        </w:tc>
        <w:tc>
          <w:tcPr>
            <w:tcW w:w="0" w:type="auto"/>
          </w:tcPr>
          <w:p w:rsidR="00795A61" w:rsidRPr="001C1EAD" w:rsidRDefault="00795A61" w:rsidP="00881758">
            <w:pPr>
              <w:spacing w:after="0" w:line="240" w:lineRule="auto"/>
              <w:ind w:left="20"/>
              <w:jc w:val="center"/>
              <w:rPr>
                <w:rFonts w:ascii="Cambria" w:eastAsia="Calibri" w:hAnsi="Cambria"/>
                <w:sz w:val="18"/>
                <w:szCs w:val="20"/>
                <w:lang w:eastAsia="es-ES_tradnl"/>
              </w:rPr>
            </w:pPr>
            <w:r w:rsidRPr="001C1EAD">
              <w:rPr>
                <w:rFonts w:ascii="Cambria" w:eastAsia="Calibri" w:hAnsi="Cambria"/>
                <w:sz w:val="18"/>
                <w:szCs w:val="20"/>
                <w:lang w:eastAsia="es-ES_tradnl"/>
              </w:rPr>
              <w:t>3</w:t>
            </w:r>
          </w:p>
        </w:tc>
        <w:tc>
          <w:tcPr>
            <w:tcW w:w="0" w:type="auto"/>
          </w:tcPr>
          <w:p w:rsidR="00795A61" w:rsidRPr="001C1EAD" w:rsidRDefault="00795A61" w:rsidP="00881758">
            <w:pPr>
              <w:spacing w:after="0" w:line="240" w:lineRule="auto"/>
              <w:ind w:left="20"/>
              <w:jc w:val="center"/>
              <w:rPr>
                <w:rFonts w:ascii="Cambria" w:eastAsia="Calibri" w:hAnsi="Cambria"/>
                <w:sz w:val="18"/>
                <w:szCs w:val="20"/>
                <w:lang w:eastAsia="es-ES_tradnl"/>
              </w:rPr>
            </w:pPr>
            <w:r w:rsidRPr="001C1EAD">
              <w:rPr>
                <w:rFonts w:ascii="Cambria" w:eastAsia="Calibri" w:hAnsi="Cambria"/>
                <w:sz w:val="18"/>
                <w:szCs w:val="20"/>
                <w:lang w:eastAsia="es-ES_tradnl"/>
              </w:rPr>
              <w:t>86%</w:t>
            </w:r>
          </w:p>
        </w:tc>
      </w:tr>
    </w:tbl>
    <w:p w:rsidR="00795A61" w:rsidRPr="00201263" w:rsidRDefault="00795A61" w:rsidP="00795A61">
      <w:pPr>
        <w:rPr>
          <w:rFonts w:ascii="Cambria" w:hAnsi="Cambria"/>
          <w:sz w:val="18"/>
        </w:rPr>
      </w:pPr>
    </w:p>
    <w:p w:rsidR="00795A61" w:rsidRDefault="00795A61" w:rsidP="00795A61">
      <w:pPr>
        <w:spacing w:after="120"/>
        <w:jc w:val="both"/>
      </w:pPr>
    </w:p>
    <w:p w:rsidR="00795A61" w:rsidRPr="001564F8" w:rsidRDefault="00795A61" w:rsidP="00795A61">
      <w:pPr>
        <w:rPr>
          <w:sz w:val="20"/>
          <w:lang w:val="en-US"/>
        </w:rPr>
      </w:pPr>
      <w:r w:rsidRPr="001564F8">
        <w:rPr>
          <w:lang w:val="en-US"/>
        </w:rPr>
        <w:br w:type="page"/>
      </w:r>
      <w:r w:rsidRPr="001564F8">
        <w:rPr>
          <w:b/>
          <w:sz w:val="20"/>
          <w:lang w:val="en-US"/>
        </w:rPr>
        <w:lastRenderedPageBreak/>
        <w:t xml:space="preserve"> Table </w:t>
      </w:r>
      <w:r w:rsidR="00AA24BF">
        <w:rPr>
          <w:b/>
          <w:sz w:val="20"/>
          <w:lang w:val="en-US"/>
        </w:rPr>
        <w:t>B</w:t>
      </w:r>
      <w:r w:rsidRPr="001564F8">
        <w:rPr>
          <w:sz w:val="20"/>
          <w:lang w:val="en-US"/>
        </w:rPr>
        <w:t xml:space="preserve">. </w:t>
      </w:r>
      <w:r w:rsidRPr="001564F8">
        <w:rPr>
          <w:rFonts w:eastAsia="Calibri"/>
          <w:sz w:val="20"/>
          <w:szCs w:val="10"/>
          <w:lang w:val="en-US"/>
        </w:rPr>
        <w:t>Heterogeneity in single nucleotide polymorphism (SNP)</w:t>
      </w:r>
      <w:r w:rsidRPr="001564F8">
        <w:rPr>
          <w:rFonts w:eastAsia="Calibri"/>
          <w:sz w:val="20"/>
          <w:szCs w:val="7"/>
          <w:lang w:val="en-US"/>
        </w:rPr>
        <w:t xml:space="preserve"> </w:t>
      </w:r>
      <w:r w:rsidRPr="001564F8">
        <w:rPr>
          <w:rFonts w:eastAsia="Calibri"/>
          <w:sz w:val="20"/>
          <w:szCs w:val="10"/>
          <w:lang w:val="en-US"/>
        </w:rPr>
        <w:t>risk estimates among bladder cancer subphenotypes defined according to stage and grade in the Spanish Bladder Cancer Study.</w:t>
      </w:r>
    </w:p>
    <w:tbl>
      <w:tblPr>
        <w:tblW w:w="49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2"/>
        <w:gridCol w:w="1129"/>
        <w:gridCol w:w="479"/>
        <w:gridCol w:w="479"/>
        <w:gridCol w:w="501"/>
        <w:gridCol w:w="479"/>
        <w:gridCol w:w="479"/>
        <w:gridCol w:w="479"/>
        <w:gridCol w:w="778"/>
        <w:gridCol w:w="684"/>
        <w:gridCol w:w="1023"/>
        <w:gridCol w:w="945"/>
        <w:gridCol w:w="1047"/>
        <w:gridCol w:w="854"/>
        <w:gridCol w:w="991"/>
        <w:gridCol w:w="854"/>
        <w:gridCol w:w="568"/>
        <w:gridCol w:w="140"/>
        <w:gridCol w:w="563"/>
      </w:tblGrid>
      <w:tr w:rsidR="00795A61" w:rsidRPr="001C1EAD">
        <w:trPr>
          <w:trHeight w:val="300"/>
        </w:trPr>
        <w:tc>
          <w:tcPr>
            <w:tcW w:w="368" w:type="pct"/>
            <w:tcBorders>
              <w:left w:val="nil"/>
              <w:bottom w:val="single" w:sz="4" w:space="0" w:color="auto"/>
              <w:right w:val="nil"/>
            </w:tcBorders>
            <w:shd w:val="clear" w:color="auto" w:fill="auto"/>
            <w:noWrap/>
            <w:vAlign w:val="center"/>
          </w:tcPr>
          <w:p w:rsidR="00795A61" w:rsidRPr="001564F8" w:rsidRDefault="00795A61" w:rsidP="00881758">
            <w:pPr>
              <w:spacing w:after="0" w:line="240" w:lineRule="auto"/>
              <w:rPr>
                <w:b/>
                <w:color w:val="000000"/>
                <w:sz w:val="18"/>
                <w:szCs w:val="20"/>
                <w:lang w:val="en-US"/>
              </w:rPr>
            </w:pPr>
          </w:p>
        </w:tc>
        <w:tc>
          <w:tcPr>
            <w:tcW w:w="419" w:type="pct"/>
            <w:tcBorders>
              <w:left w:val="nil"/>
              <w:bottom w:val="single" w:sz="4" w:space="0" w:color="auto"/>
              <w:right w:val="single" w:sz="4" w:space="0" w:color="auto"/>
            </w:tcBorders>
            <w:vAlign w:val="center"/>
          </w:tcPr>
          <w:p w:rsidR="00795A61" w:rsidRPr="001C1EAD" w:rsidRDefault="00795A61" w:rsidP="00881758">
            <w:pPr>
              <w:spacing w:after="0"/>
              <w:rPr>
                <w:b/>
                <w:color w:val="000000"/>
                <w:sz w:val="18"/>
                <w:szCs w:val="20"/>
                <w:lang w:val="en-US"/>
              </w:rPr>
            </w:pPr>
          </w:p>
        </w:tc>
        <w:tc>
          <w:tcPr>
            <w:tcW w:w="542" w:type="pct"/>
            <w:gridSpan w:val="3"/>
            <w:tcBorders>
              <w:left w:val="single" w:sz="4" w:space="0" w:color="auto"/>
              <w:bottom w:val="single" w:sz="4" w:space="0" w:color="auto"/>
              <w:right w:val="single" w:sz="4" w:space="0" w:color="auto"/>
            </w:tcBorders>
            <w:vAlign w:val="center"/>
          </w:tcPr>
          <w:p w:rsidR="00795A61" w:rsidRPr="001C1EAD" w:rsidRDefault="00795A61" w:rsidP="00881758">
            <w:pPr>
              <w:spacing w:after="0"/>
              <w:rPr>
                <w:b/>
                <w:color w:val="000000"/>
                <w:sz w:val="18"/>
                <w:szCs w:val="20"/>
              </w:rPr>
            </w:pPr>
            <w:r w:rsidRPr="001C1EAD">
              <w:rPr>
                <w:b/>
                <w:color w:val="000000"/>
                <w:sz w:val="18"/>
                <w:szCs w:val="20"/>
              </w:rPr>
              <w:t>Cases</w:t>
            </w:r>
          </w:p>
        </w:tc>
        <w:tc>
          <w:tcPr>
            <w:tcW w:w="1077" w:type="pct"/>
            <w:gridSpan w:val="5"/>
            <w:tcBorders>
              <w:left w:val="single" w:sz="4" w:space="0" w:color="auto"/>
              <w:bottom w:val="single" w:sz="4" w:space="0" w:color="auto"/>
              <w:right w:val="single" w:sz="4" w:space="0" w:color="auto"/>
            </w:tcBorders>
            <w:vAlign w:val="center"/>
          </w:tcPr>
          <w:p w:rsidR="00795A61" w:rsidRPr="001C1EAD" w:rsidRDefault="00795A61" w:rsidP="00881758">
            <w:pPr>
              <w:spacing w:after="0"/>
              <w:rPr>
                <w:b/>
                <w:color w:val="000000"/>
                <w:sz w:val="18"/>
                <w:szCs w:val="20"/>
              </w:rPr>
            </w:pPr>
            <w:r w:rsidRPr="001C1EAD">
              <w:rPr>
                <w:b/>
                <w:color w:val="000000"/>
                <w:sz w:val="18"/>
                <w:szCs w:val="20"/>
              </w:rPr>
              <w:t>Controls</w:t>
            </w:r>
          </w:p>
        </w:tc>
        <w:tc>
          <w:tcPr>
            <w:tcW w:w="2594" w:type="pct"/>
            <w:gridSpan w:val="9"/>
            <w:tcBorders>
              <w:left w:val="single" w:sz="4" w:space="0" w:color="auto"/>
              <w:bottom w:val="single" w:sz="4" w:space="0" w:color="auto"/>
              <w:right w:val="single" w:sz="4" w:space="0" w:color="auto"/>
            </w:tcBorders>
          </w:tcPr>
          <w:p w:rsidR="00795A61" w:rsidRPr="001C1EAD" w:rsidRDefault="00795A61" w:rsidP="00881758">
            <w:pPr>
              <w:spacing w:after="0"/>
              <w:rPr>
                <w:b/>
                <w:color w:val="000000"/>
                <w:sz w:val="18"/>
                <w:szCs w:val="20"/>
              </w:rPr>
            </w:pPr>
            <w:r w:rsidRPr="001C1EAD">
              <w:rPr>
                <w:b/>
                <w:color w:val="000000"/>
                <w:sz w:val="18"/>
                <w:szCs w:val="20"/>
              </w:rPr>
              <w:t>Risk of bladder cancer</w:t>
            </w:r>
          </w:p>
        </w:tc>
      </w:tr>
      <w:tr w:rsidR="00795A61" w:rsidRPr="001C1EAD">
        <w:trPr>
          <w:trHeight w:val="300"/>
        </w:trPr>
        <w:tc>
          <w:tcPr>
            <w:tcW w:w="368" w:type="pct"/>
            <w:tcBorders>
              <w:left w:val="nil"/>
              <w:bottom w:val="single" w:sz="4" w:space="0" w:color="auto"/>
              <w:right w:val="nil"/>
            </w:tcBorders>
            <w:shd w:val="clear" w:color="auto" w:fill="auto"/>
            <w:noWrap/>
            <w:vAlign w:val="center"/>
          </w:tcPr>
          <w:p w:rsidR="00795A61" w:rsidRPr="004F2AB3" w:rsidRDefault="00795A61" w:rsidP="00881758">
            <w:pPr>
              <w:spacing w:after="0" w:line="240" w:lineRule="auto"/>
              <w:rPr>
                <w:b/>
                <w:color w:val="000000"/>
                <w:sz w:val="18"/>
                <w:szCs w:val="20"/>
              </w:rPr>
            </w:pPr>
            <w:r w:rsidRPr="004F2AB3">
              <w:rPr>
                <w:b/>
                <w:color w:val="000000"/>
                <w:sz w:val="18"/>
                <w:szCs w:val="20"/>
              </w:rPr>
              <w:t>GENE</w:t>
            </w:r>
          </w:p>
        </w:tc>
        <w:tc>
          <w:tcPr>
            <w:tcW w:w="419" w:type="pct"/>
            <w:tcBorders>
              <w:left w:val="nil"/>
              <w:bottom w:val="single" w:sz="4" w:space="0" w:color="auto"/>
              <w:right w:val="single" w:sz="4" w:space="0" w:color="auto"/>
            </w:tcBorders>
            <w:vAlign w:val="center"/>
          </w:tcPr>
          <w:p w:rsidR="00795A61" w:rsidRPr="004F2AB3" w:rsidRDefault="00795A61" w:rsidP="00881758">
            <w:pPr>
              <w:spacing w:after="0" w:line="240" w:lineRule="auto"/>
              <w:rPr>
                <w:b/>
                <w:color w:val="000000"/>
                <w:sz w:val="18"/>
                <w:szCs w:val="20"/>
              </w:rPr>
            </w:pPr>
            <w:r w:rsidRPr="004F2AB3">
              <w:rPr>
                <w:b/>
                <w:color w:val="000000"/>
                <w:sz w:val="18"/>
                <w:szCs w:val="20"/>
              </w:rPr>
              <w:t>SNP</w:t>
            </w:r>
          </w:p>
        </w:tc>
        <w:tc>
          <w:tcPr>
            <w:tcW w:w="178" w:type="pct"/>
            <w:tcBorders>
              <w:left w:val="single" w:sz="4" w:space="0" w:color="auto"/>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178"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186" w:type="pct"/>
            <w:tcBorders>
              <w:left w:val="nil"/>
              <w:bottom w:val="single" w:sz="4" w:space="0" w:color="auto"/>
              <w:right w:val="single" w:sz="4" w:space="0" w:color="auto"/>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178" w:type="pct"/>
            <w:tcBorders>
              <w:left w:val="single" w:sz="4" w:space="0" w:color="auto"/>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178"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178"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89"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M</w:t>
            </w:r>
            <w:r>
              <w:rPr>
                <w:b/>
                <w:color w:val="000000"/>
                <w:sz w:val="18"/>
                <w:szCs w:val="20"/>
              </w:rPr>
              <w:t>AF</w:t>
            </w:r>
            <w:r w:rsidRPr="004F2AB3">
              <w:rPr>
                <w:b/>
                <w:color w:val="000000"/>
                <w:sz w:val="18"/>
                <w:szCs w:val="20"/>
              </w:rPr>
              <w:t>(a)</w:t>
            </w:r>
          </w:p>
        </w:tc>
        <w:tc>
          <w:tcPr>
            <w:tcW w:w="254" w:type="pct"/>
            <w:tcBorders>
              <w:left w:val="nil"/>
              <w:bottom w:val="single" w:sz="4" w:space="0" w:color="auto"/>
              <w:right w:val="single" w:sz="4" w:space="0" w:color="auto"/>
            </w:tcBorders>
            <w:vAlign w:val="center"/>
          </w:tcPr>
          <w:p w:rsidR="00795A61" w:rsidRPr="004F2AB3" w:rsidRDefault="00795A61" w:rsidP="00881758">
            <w:pPr>
              <w:spacing w:after="0" w:line="240" w:lineRule="auto"/>
              <w:jc w:val="center"/>
              <w:rPr>
                <w:b/>
                <w:color w:val="000000"/>
                <w:sz w:val="18"/>
                <w:szCs w:val="20"/>
                <w:vertAlign w:val="superscript"/>
              </w:rPr>
            </w:pPr>
            <w:r w:rsidRPr="004F2AB3">
              <w:rPr>
                <w:b/>
                <w:color w:val="000000"/>
                <w:sz w:val="18"/>
                <w:szCs w:val="20"/>
              </w:rPr>
              <w:t>pHWE</w:t>
            </w:r>
          </w:p>
        </w:tc>
        <w:tc>
          <w:tcPr>
            <w:tcW w:w="380" w:type="pct"/>
            <w:tcBorders>
              <w:left w:val="single" w:sz="4" w:space="0" w:color="auto"/>
              <w:bottom w:val="single" w:sz="4" w:space="0" w:color="auto"/>
              <w:right w:val="nil"/>
            </w:tcBorders>
            <w:shd w:val="clear" w:color="auto" w:fill="auto"/>
            <w:noWrap/>
            <w:vAlign w:val="center"/>
          </w:tcPr>
          <w:p w:rsidR="00795A61" w:rsidRPr="00585531" w:rsidRDefault="00795A61" w:rsidP="00881758">
            <w:pPr>
              <w:spacing w:after="0" w:line="240" w:lineRule="auto"/>
              <w:jc w:val="center"/>
              <w:rPr>
                <w:b/>
                <w:color w:val="000000"/>
                <w:sz w:val="18"/>
                <w:szCs w:val="20"/>
                <w:vertAlign w:val="superscript"/>
              </w:rPr>
            </w:pPr>
            <w:r w:rsidRPr="00585531">
              <w:rPr>
                <w:b/>
                <w:color w:val="000000"/>
                <w:sz w:val="18"/>
                <w:szCs w:val="20"/>
              </w:rPr>
              <w:t>OR (Cont./</w:t>
            </w:r>
            <w:r>
              <w:rPr>
                <w:b/>
                <w:color w:val="000000"/>
                <w:sz w:val="18"/>
                <w:szCs w:val="20"/>
              </w:rPr>
              <w:t>AA)</w:t>
            </w:r>
          </w:p>
        </w:tc>
        <w:tc>
          <w:tcPr>
            <w:tcW w:w="351"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95% CI</w:t>
            </w:r>
          </w:p>
        </w:tc>
        <w:tc>
          <w:tcPr>
            <w:tcW w:w="389" w:type="pct"/>
            <w:tcBorders>
              <w:left w:val="nil"/>
              <w:bottom w:val="single" w:sz="4" w:space="0" w:color="auto"/>
              <w:right w:val="nil"/>
            </w:tcBorders>
            <w:vAlign w:val="center"/>
          </w:tcPr>
          <w:p w:rsidR="00795A61" w:rsidRDefault="00795A61" w:rsidP="00881758">
            <w:pPr>
              <w:spacing w:after="0" w:line="240" w:lineRule="auto"/>
              <w:jc w:val="center"/>
              <w:rPr>
                <w:b/>
                <w:color w:val="000000"/>
                <w:sz w:val="18"/>
                <w:szCs w:val="20"/>
              </w:rPr>
            </w:pPr>
            <w:r w:rsidRPr="00585531">
              <w:rPr>
                <w:b/>
                <w:color w:val="000000"/>
                <w:sz w:val="18"/>
                <w:szCs w:val="20"/>
              </w:rPr>
              <w:t>OR</w:t>
            </w:r>
          </w:p>
          <w:p w:rsidR="00795A61" w:rsidRPr="00585531" w:rsidRDefault="00795A61" w:rsidP="00881758">
            <w:pPr>
              <w:spacing w:after="0" w:line="240" w:lineRule="auto"/>
              <w:jc w:val="center"/>
              <w:rPr>
                <w:b/>
                <w:color w:val="000000"/>
                <w:sz w:val="18"/>
                <w:szCs w:val="20"/>
                <w:vertAlign w:val="superscript"/>
              </w:rPr>
            </w:pPr>
            <w:r>
              <w:rPr>
                <w:b/>
                <w:color w:val="000000"/>
                <w:sz w:val="18"/>
                <w:szCs w:val="20"/>
              </w:rPr>
              <w:t>(Cont./Aa)</w:t>
            </w:r>
          </w:p>
        </w:tc>
        <w:tc>
          <w:tcPr>
            <w:tcW w:w="317"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95% CI</w:t>
            </w:r>
          </w:p>
        </w:tc>
        <w:tc>
          <w:tcPr>
            <w:tcW w:w="368" w:type="pct"/>
            <w:tcBorders>
              <w:left w:val="nil"/>
              <w:bottom w:val="single" w:sz="4" w:space="0" w:color="auto"/>
              <w:right w:val="nil"/>
            </w:tcBorders>
            <w:vAlign w:val="center"/>
          </w:tcPr>
          <w:p w:rsidR="00795A61" w:rsidRDefault="00795A61" w:rsidP="00881758">
            <w:pPr>
              <w:spacing w:after="0" w:line="240" w:lineRule="auto"/>
              <w:jc w:val="center"/>
              <w:rPr>
                <w:b/>
                <w:color w:val="000000"/>
                <w:sz w:val="18"/>
                <w:szCs w:val="20"/>
              </w:rPr>
            </w:pPr>
            <w:r w:rsidRPr="00585531">
              <w:rPr>
                <w:b/>
                <w:color w:val="000000"/>
                <w:sz w:val="18"/>
                <w:szCs w:val="20"/>
              </w:rPr>
              <w:t>OR</w:t>
            </w:r>
          </w:p>
          <w:p w:rsidR="00795A61" w:rsidRPr="00585531" w:rsidRDefault="00795A61" w:rsidP="00881758">
            <w:pPr>
              <w:spacing w:after="0" w:line="240" w:lineRule="auto"/>
              <w:jc w:val="center"/>
              <w:rPr>
                <w:b/>
                <w:color w:val="000000"/>
                <w:sz w:val="18"/>
                <w:szCs w:val="20"/>
                <w:vertAlign w:val="superscript"/>
              </w:rPr>
            </w:pPr>
            <w:r>
              <w:rPr>
                <w:b/>
                <w:color w:val="000000"/>
                <w:sz w:val="18"/>
                <w:szCs w:val="20"/>
              </w:rPr>
              <w:t>(Cont./aa)</w:t>
            </w:r>
          </w:p>
        </w:tc>
        <w:tc>
          <w:tcPr>
            <w:tcW w:w="317"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95% CI</w:t>
            </w:r>
          </w:p>
        </w:tc>
        <w:tc>
          <w:tcPr>
            <w:tcW w:w="263" w:type="pct"/>
            <w:gridSpan w:val="2"/>
            <w:tcBorders>
              <w:left w:val="nil"/>
              <w:bottom w:val="single" w:sz="4" w:space="0" w:color="auto"/>
              <w:right w:val="nil"/>
            </w:tcBorders>
            <w:vAlign w:val="center"/>
          </w:tcPr>
          <w:p w:rsidR="00795A61" w:rsidRPr="00505DCA" w:rsidRDefault="00795A61" w:rsidP="00881758">
            <w:pPr>
              <w:spacing w:after="0" w:line="240" w:lineRule="auto"/>
              <w:jc w:val="center"/>
              <w:rPr>
                <w:b/>
                <w:i/>
                <w:color w:val="000000"/>
                <w:sz w:val="18"/>
                <w:szCs w:val="20"/>
              </w:rPr>
            </w:pPr>
            <w:r w:rsidRPr="00505DCA">
              <w:rPr>
                <w:b/>
                <w:i/>
                <w:color w:val="000000"/>
                <w:sz w:val="18"/>
                <w:szCs w:val="20"/>
              </w:rPr>
              <w:t>p-value</w:t>
            </w:r>
          </w:p>
        </w:tc>
        <w:tc>
          <w:tcPr>
            <w:tcW w:w="209" w:type="pct"/>
            <w:tcBorders>
              <w:left w:val="nil"/>
              <w:bottom w:val="single" w:sz="4" w:space="0" w:color="auto"/>
              <w:right w:val="single" w:sz="4" w:space="0" w:color="auto"/>
            </w:tcBorders>
            <w:shd w:val="clear" w:color="auto" w:fill="auto"/>
            <w:noWrap/>
            <w:vAlign w:val="center"/>
          </w:tcPr>
          <w:p w:rsidR="00795A61" w:rsidRPr="004F2AB3" w:rsidRDefault="00795A61" w:rsidP="00881758">
            <w:pPr>
              <w:spacing w:after="0" w:line="240" w:lineRule="auto"/>
              <w:jc w:val="center"/>
              <w:rPr>
                <w:b/>
                <w:color w:val="000000"/>
                <w:sz w:val="18"/>
                <w:szCs w:val="20"/>
              </w:rPr>
            </w:pPr>
            <w:r>
              <w:rPr>
                <w:b/>
                <w:color w:val="000000"/>
                <w:sz w:val="18"/>
                <w:szCs w:val="20"/>
              </w:rPr>
              <w:t>MOI</w:t>
            </w:r>
          </w:p>
        </w:tc>
      </w:tr>
      <w:tr w:rsidR="00795A61" w:rsidRPr="001C1EAD">
        <w:trPr>
          <w:trHeight w:val="300"/>
        </w:trPr>
        <w:tc>
          <w:tcPr>
            <w:tcW w:w="368" w:type="pct"/>
            <w:tcBorders>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BIRC5</w:t>
            </w:r>
          </w:p>
        </w:tc>
        <w:tc>
          <w:tcPr>
            <w:tcW w:w="419" w:type="pct"/>
            <w:tcBorders>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rs4789551</w:t>
            </w:r>
          </w:p>
        </w:tc>
        <w:tc>
          <w:tcPr>
            <w:tcW w:w="178" w:type="pct"/>
            <w:tcBorders>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932</w:t>
            </w:r>
          </w:p>
        </w:tc>
        <w:tc>
          <w:tcPr>
            <w:tcW w:w="178" w:type="pct"/>
            <w:tcBorders>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92</w:t>
            </w:r>
          </w:p>
        </w:tc>
        <w:tc>
          <w:tcPr>
            <w:tcW w:w="186" w:type="pct"/>
            <w:tcBorders>
              <w:top w:val="single" w:sz="4" w:space="0" w:color="auto"/>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4</w:t>
            </w:r>
          </w:p>
        </w:tc>
        <w:tc>
          <w:tcPr>
            <w:tcW w:w="178" w:type="pct"/>
            <w:tcBorders>
              <w:top w:val="single" w:sz="4" w:space="0" w:color="auto"/>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965</w:t>
            </w:r>
          </w:p>
        </w:tc>
        <w:tc>
          <w:tcPr>
            <w:tcW w:w="178"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119</w:t>
            </w:r>
          </w:p>
        </w:tc>
        <w:tc>
          <w:tcPr>
            <w:tcW w:w="178"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w:t>
            </w:r>
          </w:p>
        </w:tc>
        <w:tc>
          <w:tcPr>
            <w:tcW w:w="289"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0.06</w:t>
            </w:r>
          </w:p>
        </w:tc>
        <w:tc>
          <w:tcPr>
            <w:tcW w:w="254" w:type="pct"/>
            <w:tcBorders>
              <w:top w:val="single" w:sz="4" w:space="0" w:color="auto"/>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380" w:type="pct"/>
            <w:tcBorders>
              <w:top w:val="single" w:sz="4" w:space="0" w:color="auto"/>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1.07</w:t>
            </w:r>
          </w:p>
        </w:tc>
        <w:tc>
          <w:tcPr>
            <w:tcW w:w="351"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0.79-1.46</w:t>
            </w:r>
          </w:p>
        </w:tc>
        <w:tc>
          <w:tcPr>
            <w:tcW w:w="389"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0.77</w:t>
            </w:r>
          </w:p>
        </w:tc>
        <w:tc>
          <w:tcPr>
            <w:tcW w:w="317"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0.47-1.29</w:t>
            </w:r>
          </w:p>
        </w:tc>
        <w:tc>
          <w:tcPr>
            <w:tcW w:w="368"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0.35</w:t>
            </w:r>
          </w:p>
        </w:tc>
        <w:tc>
          <w:tcPr>
            <w:tcW w:w="317"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0.17-0.69</w:t>
            </w:r>
          </w:p>
        </w:tc>
        <w:tc>
          <w:tcPr>
            <w:tcW w:w="211"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0.001</w:t>
            </w:r>
          </w:p>
        </w:tc>
        <w:tc>
          <w:tcPr>
            <w:tcW w:w="261" w:type="pct"/>
            <w:gridSpan w:val="2"/>
            <w:tcBorders>
              <w:top w:val="single" w:sz="4" w:space="0" w:color="auto"/>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CDKN1A</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rs3176352</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476</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429</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121</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489</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489</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106</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0.32</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0.33</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1.07</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0.92-1.25</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0.81</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0.64-1.03</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1.16</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0.94-1.44</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0.03</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FAS</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rs3758483</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802</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215</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833</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242</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0.12</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0.20</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1.10</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0.86-1.39</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0.59-1.24</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0.64</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0.43-0.94</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FAS</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rs983751</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800</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215</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833</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242</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12</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0.12</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0.26</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1.09</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0.86-1.38</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0.85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0.59-1.23</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0.65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0.44-0.96</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0.03</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IGF1R</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rs2016347</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319</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493</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215</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338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499</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248</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0.46</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0.01</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0.88</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0.77-1.02</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1.18</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0.96-1.46</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0.98</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0.80-1.20</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IGF1R</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rs2871865</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738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260</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28</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784</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274</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30</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0.15</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0.29</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0.89</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0.73-1.09</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1.44</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1.10-1.87</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0.92</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0.96-1.23</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0.006</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P53AIP1</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rs2846690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638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341</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48</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666</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347</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72</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0.23</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0.01</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0.98</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0.79-1.20</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0.72</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0.52-0.99</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1.20</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0.89-1.61</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P53AIP1</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rs3740831</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690</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307</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30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714</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333</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41</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0.19</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0.77</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0.87</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0.71-1.05</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0.72</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0.53-0.97</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1.19</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0.92-1.53</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P53AIP1</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rs4937395</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531</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427</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68</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534</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455</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97</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0.30</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0.85</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0.69-1.04</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0.71</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0.52-0.96</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0.86-1.54</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PMAIP1</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rs2023022</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758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247</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20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796</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268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23</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0.14</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0.90</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1.10</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0.90-1.35</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0.64</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0.45-0.92</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0.71-1.29</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0.01</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SERPINB5</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rs17071220</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536</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402</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89</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598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423</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65</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0.25</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0.42</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0.90</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0.73-1.11</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1.54</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1.14-2.09</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1.15</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0.86-1.54</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0.004</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TP73</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rs3765692</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548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403</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76</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527</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483</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76</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0.29</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0.02</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0.90</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0.74-1.11</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0.59</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0.44-0.81</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0.79</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0.59-1.06</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368" w:type="pct"/>
            <w:tcBorders>
              <w:top w:val="nil"/>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TP73</w:t>
            </w:r>
          </w:p>
        </w:tc>
        <w:tc>
          <w:tcPr>
            <w:tcW w:w="419"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rs3765695</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684</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303</w:t>
            </w:r>
          </w:p>
        </w:tc>
        <w:tc>
          <w:tcPr>
            <w:tcW w:w="186"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41</w:t>
            </w:r>
          </w:p>
        </w:tc>
        <w:tc>
          <w:tcPr>
            <w:tcW w:w="178"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692</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368</w:t>
            </w:r>
          </w:p>
        </w:tc>
        <w:tc>
          <w:tcPr>
            <w:tcW w:w="178"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28</w:t>
            </w:r>
          </w:p>
        </w:tc>
        <w:tc>
          <w:tcPr>
            <w:tcW w:w="28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0.19</w:t>
            </w:r>
          </w:p>
        </w:tc>
        <w:tc>
          <w:tcPr>
            <w:tcW w:w="254"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0.01</w:t>
            </w:r>
          </w:p>
        </w:tc>
        <w:tc>
          <w:tcPr>
            <w:tcW w:w="380"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0.88</w:t>
            </w:r>
          </w:p>
        </w:tc>
        <w:tc>
          <w:tcPr>
            <w:tcW w:w="35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0.73-1.07</w:t>
            </w:r>
          </w:p>
        </w:tc>
        <w:tc>
          <w:tcPr>
            <w:tcW w:w="38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0.77</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0.57-1.03</w:t>
            </w:r>
          </w:p>
        </w:tc>
        <w:tc>
          <w:tcPr>
            <w:tcW w:w="368"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1.23</w:t>
            </w:r>
          </w:p>
        </w:tc>
        <w:tc>
          <w:tcPr>
            <w:tcW w:w="317"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0.95-1.58</w:t>
            </w:r>
          </w:p>
        </w:tc>
        <w:tc>
          <w:tcPr>
            <w:tcW w:w="211"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261"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368" w:type="pct"/>
            <w:tcBorders>
              <w:top w:val="nil"/>
              <w:left w:val="nil"/>
              <w:bottom w:val="single" w:sz="4" w:space="0" w:color="auto"/>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TP73</w:t>
            </w:r>
          </w:p>
        </w:tc>
        <w:tc>
          <w:tcPr>
            <w:tcW w:w="419" w:type="pct"/>
            <w:tcBorders>
              <w:top w:val="nil"/>
              <w:left w:val="nil"/>
              <w:bottom w:val="single" w:sz="4" w:space="0" w:color="auto"/>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rs4648553</w:t>
            </w:r>
          </w:p>
        </w:tc>
        <w:tc>
          <w:tcPr>
            <w:tcW w:w="178" w:type="pct"/>
            <w:tcBorders>
              <w:top w:val="nil"/>
              <w:left w:val="single" w:sz="4" w:space="0" w:color="auto"/>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593</w:t>
            </w:r>
          </w:p>
        </w:tc>
        <w:tc>
          <w:tcPr>
            <w:tcW w:w="178"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374</w:t>
            </w:r>
          </w:p>
        </w:tc>
        <w:tc>
          <w:tcPr>
            <w:tcW w:w="186" w:type="pct"/>
            <w:tcBorders>
              <w:top w:val="nil"/>
              <w:left w:val="nil"/>
              <w:bottom w:val="single" w:sz="4" w:space="0" w:color="auto"/>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58</w:t>
            </w:r>
          </w:p>
        </w:tc>
        <w:tc>
          <w:tcPr>
            <w:tcW w:w="178" w:type="pct"/>
            <w:tcBorders>
              <w:top w:val="nil"/>
              <w:left w:val="single" w:sz="4" w:space="0" w:color="auto"/>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642</w:t>
            </w:r>
          </w:p>
        </w:tc>
        <w:tc>
          <w:tcPr>
            <w:tcW w:w="178"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383</w:t>
            </w:r>
          </w:p>
        </w:tc>
        <w:tc>
          <w:tcPr>
            <w:tcW w:w="178"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63</w:t>
            </w:r>
          </w:p>
        </w:tc>
        <w:tc>
          <w:tcPr>
            <w:tcW w:w="289"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0.23</w:t>
            </w:r>
          </w:p>
        </w:tc>
        <w:tc>
          <w:tcPr>
            <w:tcW w:w="254" w:type="pct"/>
            <w:tcBorders>
              <w:top w:val="nil"/>
              <w:left w:val="nil"/>
              <w:bottom w:val="single" w:sz="4" w:space="0" w:color="auto"/>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0.55</w:t>
            </w:r>
          </w:p>
        </w:tc>
        <w:tc>
          <w:tcPr>
            <w:tcW w:w="380" w:type="pct"/>
            <w:tcBorders>
              <w:top w:val="nil"/>
              <w:left w:val="single" w:sz="4" w:space="0" w:color="auto"/>
              <w:bottom w:val="single" w:sz="4" w:space="0" w:color="auto"/>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1.21</w:t>
            </w:r>
          </w:p>
        </w:tc>
        <w:tc>
          <w:tcPr>
            <w:tcW w:w="351"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0.99-1.49</w:t>
            </w:r>
          </w:p>
        </w:tc>
        <w:tc>
          <w:tcPr>
            <w:tcW w:w="389"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0.93</w:t>
            </w:r>
          </w:p>
        </w:tc>
        <w:tc>
          <w:tcPr>
            <w:tcW w:w="317"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0.69-1.27</w:t>
            </w:r>
          </w:p>
        </w:tc>
        <w:tc>
          <w:tcPr>
            <w:tcW w:w="368"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0.81</w:t>
            </w:r>
          </w:p>
        </w:tc>
        <w:tc>
          <w:tcPr>
            <w:tcW w:w="317"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0.60-1.10</w:t>
            </w:r>
          </w:p>
        </w:tc>
        <w:tc>
          <w:tcPr>
            <w:tcW w:w="211"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0.03</w:t>
            </w:r>
          </w:p>
        </w:tc>
        <w:tc>
          <w:tcPr>
            <w:tcW w:w="261" w:type="pct"/>
            <w:gridSpan w:val="2"/>
            <w:tcBorders>
              <w:top w:val="nil"/>
              <w:left w:val="nil"/>
              <w:bottom w:val="single" w:sz="4" w:space="0" w:color="auto"/>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920EDF">
        <w:trPr>
          <w:trHeight w:val="300"/>
        </w:trPr>
        <w:tc>
          <w:tcPr>
            <w:tcW w:w="5000" w:type="pct"/>
            <w:gridSpan w:val="19"/>
            <w:tcBorders>
              <w:left w:val="nil"/>
              <w:bottom w:val="nil"/>
              <w:right w:val="nil"/>
            </w:tcBorders>
            <w:shd w:val="clear" w:color="auto" w:fill="auto"/>
            <w:noWrap/>
            <w:vAlign w:val="center"/>
          </w:tcPr>
          <w:p w:rsidR="00795A61" w:rsidRPr="001564F8" w:rsidRDefault="00795A61" w:rsidP="00881758">
            <w:pPr>
              <w:spacing w:after="0" w:line="240" w:lineRule="auto"/>
              <w:rPr>
                <w:color w:val="000000"/>
                <w:sz w:val="18"/>
                <w:szCs w:val="18"/>
                <w:lang w:val="en-US"/>
              </w:rPr>
            </w:pPr>
            <w:r w:rsidRPr="001564F8">
              <w:rPr>
                <w:i/>
                <w:color w:val="000000"/>
                <w:sz w:val="18"/>
                <w:szCs w:val="18"/>
                <w:lang w:val="en-US"/>
              </w:rPr>
              <w:t>MAF(a)</w:t>
            </w:r>
            <w:r w:rsidRPr="001564F8">
              <w:rPr>
                <w:color w:val="000000"/>
                <w:sz w:val="18"/>
                <w:szCs w:val="18"/>
                <w:lang w:val="en-US"/>
              </w:rPr>
              <w:t xml:space="preserve">, minor allele frequency); </w:t>
            </w:r>
            <w:r w:rsidRPr="001564F8">
              <w:rPr>
                <w:i/>
                <w:color w:val="000000"/>
                <w:sz w:val="18"/>
                <w:szCs w:val="18"/>
                <w:lang w:val="en-US"/>
              </w:rPr>
              <w:t>pHWE</w:t>
            </w:r>
            <w:r w:rsidRPr="001564F8">
              <w:rPr>
                <w:color w:val="000000"/>
                <w:sz w:val="18"/>
                <w:szCs w:val="18"/>
                <w:lang w:val="en-US"/>
              </w:rPr>
              <w:t xml:space="preserve">, </w:t>
            </w:r>
            <w:r w:rsidRPr="001564F8">
              <w:rPr>
                <w:i/>
                <w:color w:val="000000"/>
                <w:sz w:val="18"/>
                <w:szCs w:val="18"/>
                <w:lang w:val="en-US"/>
              </w:rPr>
              <w:t>p-value</w:t>
            </w:r>
            <w:r w:rsidRPr="001564F8">
              <w:rPr>
                <w:color w:val="000000"/>
                <w:sz w:val="18"/>
                <w:szCs w:val="18"/>
                <w:lang w:val="en-US"/>
              </w:rPr>
              <w:t xml:space="preserve"> from the Hardy Weinberg equilibrium test; </w:t>
            </w:r>
            <w:r w:rsidRPr="001564F8">
              <w:rPr>
                <w:i/>
                <w:color w:val="000000"/>
                <w:sz w:val="18"/>
                <w:szCs w:val="18"/>
                <w:lang w:val="en-US"/>
              </w:rPr>
              <w:t>MOI</w:t>
            </w:r>
            <w:r w:rsidRPr="001564F8">
              <w:rPr>
                <w:color w:val="000000"/>
                <w:sz w:val="18"/>
                <w:szCs w:val="18"/>
                <w:lang w:val="en-US"/>
              </w:rPr>
              <w:t>, Mode of Inheritance</w:t>
            </w:r>
          </w:p>
          <w:p w:rsidR="00795A61" w:rsidRPr="001564F8" w:rsidRDefault="00795A61" w:rsidP="00881758">
            <w:pPr>
              <w:spacing w:after="0" w:line="240" w:lineRule="auto"/>
              <w:rPr>
                <w:color w:val="000000"/>
                <w:sz w:val="18"/>
                <w:szCs w:val="18"/>
                <w:lang w:val="en-US"/>
              </w:rPr>
            </w:pPr>
            <w:r w:rsidRPr="001564F8">
              <w:rPr>
                <w:color w:val="000000"/>
                <w:sz w:val="18"/>
                <w:szCs w:val="18"/>
                <w:lang w:val="en-US"/>
              </w:rPr>
              <w:t>All models are adjusted for age, gender, region and smoking status</w:t>
            </w:r>
          </w:p>
        </w:tc>
      </w:tr>
    </w:tbl>
    <w:p w:rsidR="00795A61" w:rsidRPr="001564F8" w:rsidRDefault="00795A61" w:rsidP="00795A61">
      <w:pPr>
        <w:rPr>
          <w:lang w:val="en-US"/>
        </w:rPr>
      </w:pPr>
      <w:r w:rsidRPr="001564F8">
        <w:rPr>
          <w:lang w:val="en-US"/>
        </w:rPr>
        <w:br w:type="page"/>
      </w:r>
    </w:p>
    <w:p w:rsidR="00795A61" w:rsidRPr="001564F8" w:rsidRDefault="00795A61" w:rsidP="00795A61">
      <w:pPr>
        <w:rPr>
          <w:sz w:val="20"/>
          <w:lang w:val="en-US"/>
        </w:rPr>
      </w:pPr>
      <w:r w:rsidRPr="001564F8">
        <w:rPr>
          <w:b/>
          <w:sz w:val="20"/>
          <w:lang w:val="en-US"/>
        </w:rPr>
        <w:lastRenderedPageBreak/>
        <w:t xml:space="preserve">Table </w:t>
      </w:r>
      <w:r w:rsidR="00AA24BF">
        <w:rPr>
          <w:b/>
          <w:sz w:val="20"/>
          <w:lang w:val="en-US"/>
        </w:rPr>
        <w:t>C</w:t>
      </w:r>
      <w:r w:rsidRPr="001564F8">
        <w:rPr>
          <w:sz w:val="20"/>
          <w:lang w:val="en-US"/>
        </w:rPr>
        <w:t xml:space="preserve">. </w:t>
      </w:r>
      <w:r w:rsidRPr="001564F8">
        <w:rPr>
          <w:rFonts w:eastAsia="Calibri"/>
          <w:sz w:val="20"/>
          <w:szCs w:val="10"/>
          <w:lang w:val="en-US"/>
        </w:rPr>
        <w:t>Heterogeneity in single nucleotide polymorphism (SNP)</w:t>
      </w:r>
      <w:r w:rsidRPr="001564F8">
        <w:rPr>
          <w:rFonts w:eastAsia="Calibri"/>
          <w:sz w:val="20"/>
          <w:szCs w:val="7"/>
          <w:lang w:val="en-US"/>
        </w:rPr>
        <w:t xml:space="preserve"> </w:t>
      </w:r>
      <w:r w:rsidRPr="001564F8">
        <w:rPr>
          <w:rFonts w:eastAsia="Calibri"/>
          <w:sz w:val="20"/>
          <w:szCs w:val="10"/>
          <w:lang w:val="en-US"/>
        </w:rPr>
        <w:t>risk estimates among bladder cancer subphenotypes defined by p53 expression in the Spanish Bladder Cancer Study.</w:t>
      </w:r>
    </w:p>
    <w:tbl>
      <w:tblPr>
        <w:tblW w:w="4423"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11"/>
        <w:gridCol w:w="1180"/>
        <w:gridCol w:w="481"/>
        <w:gridCol w:w="480"/>
        <w:gridCol w:w="492"/>
        <w:gridCol w:w="480"/>
        <w:gridCol w:w="480"/>
        <w:gridCol w:w="480"/>
        <w:gridCol w:w="838"/>
        <w:gridCol w:w="886"/>
        <w:gridCol w:w="1021"/>
        <w:gridCol w:w="944"/>
        <w:gridCol w:w="1014"/>
        <w:gridCol w:w="838"/>
        <w:gridCol w:w="553"/>
        <w:gridCol w:w="171"/>
        <w:gridCol w:w="562"/>
      </w:tblGrid>
      <w:tr w:rsidR="00795A61" w:rsidRPr="001C1EAD">
        <w:trPr>
          <w:trHeight w:val="300"/>
        </w:trPr>
        <w:tc>
          <w:tcPr>
            <w:tcW w:w="462" w:type="pct"/>
            <w:tcBorders>
              <w:left w:val="nil"/>
              <w:bottom w:val="single" w:sz="4" w:space="0" w:color="auto"/>
              <w:right w:val="nil"/>
            </w:tcBorders>
            <w:shd w:val="clear" w:color="auto" w:fill="auto"/>
            <w:noWrap/>
            <w:vAlign w:val="center"/>
          </w:tcPr>
          <w:p w:rsidR="00795A61" w:rsidRPr="001564F8" w:rsidRDefault="00795A61" w:rsidP="00881758">
            <w:pPr>
              <w:spacing w:after="0" w:line="240" w:lineRule="auto"/>
              <w:rPr>
                <w:b/>
                <w:color w:val="000000"/>
                <w:sz w:val="18"/>
                <w:szCs w:val="20"/>
                <w:lang w:val="en-US"/>
              </w:rPr>
            </w:pPr>
          </w:p>
        </w:tc>
        <w:tc>
          <w:tcPr>
            <w:tcW w:w="491" w:type="pct"/>
            <w:tcBorders>
              <w:left w:val="nil"/>
              <w:bottom w:val="single" w:sz="4" w:space="0" w:color="auto"/>
              <w:right w:val="single" w:sz="4" w:space="0" w:color="auto"/>
            </w:tcBorders>
            <w:vAlign w:val="center"/>
          </w:tcPr>
          <w:p w:rsidR="00795A61" w:rsidRPr="001C1EAD" w:rsidRDefault="00795A61" w:rsidP="00881758">
            <w:pPr>
              <w:spacing w:after="0"/>
              <w:rPr>
                <w:b/>
                <w:color w:val="000000"/>
                <w:sz w:val="18"/>
                <w:szCs w:val="20"/>
                <w:lang w:val="en-US"/>
              </w:rPr>
            </w:pPr>
          </w:p>
        </w:tc>
        <w:tc>
          <w:tcPr>
            <w:tcW w:w="604" w:type="pct"/>
            <w:gridSpan w:val="3"/>
            <w:tcBorders>
              <w:left w:val="single" w:sz="4" w:space="0" w:color="auto"/>
              <w:bottom w:val="single" w:sz="4" w:space="0" w:color="auto"/>
              <w:right w:val="single" w:sz="4" w:space="0" w:color="auto"/>
            </w:tcBorders>
            <w:vAlign w:val="center"/>
          </w:tcPr>
          <w:p w:rsidR="00795A61" w:rsidRPr="001C1EAD" w:rsidRDefault="00795A61" w:rsidP="00881758">
            <w:pPr>
              <w:spacing w:after="0"/>
              <w:rPr>
                <w:b/>
                <w:color w:val="000000"/>
                <w:sz w:val="18"/>
                <w:szCs w:val="20"/>
              </w:rPr>
            </w:pPr>
            <w:r w:rsidRPr="001C1EAD">
              <w:rPr>
                <w:b/>
                <w:color w:val="000000"/>
                <w:sz w:val="18"/>
                <w:szCs w:val="20"/>
              </w:rPr>
              <w:t>Cases</w:t>
            </w:r>
          </w:p>
        </w:tc>
        <w:tc>
          <w:tcPr>
            <w:tcW w:w="1317" w:type="pct"/>
            <w:gridSpan w:val="5"/>
            <w:tcBorders>
              <w:left w:val="single" w:sz="4" w:space="0" w:color="auto"/>
              <w:bottom w:val="single" w:sz="4" w:space="0" w:color="auto"/>
              <w:right w:val="single" w:sz="4" w:space="0" w:color="auto"/>
            </w:tcBorders>
            <w:vAlign w:val="center"/>
          </w:tcPr>
          <w:p w:rsidR="00795A61" w:rsidRPr="001C1EAD" w:rsidRDefault="00795A61" w:rsidP="00881758">
            <w:pPr>
              <w:spacing w:after="0"/>
              <w:rPr>
                <w:b/>
                <w:color w:val="000000"/>
                <w:sz w:val="18"/>
                <w:szCs w:val="20"/>
              </w:rPr>
            </w:pPr>
            <w:r w:rsidRPr="001C1EAD">
              <w:rPr>
                <w:b/>
                <w:color w:val="000000"/>
                <w:sz w:val="18"/>
                <w:szCs w:val="20"/>
              </w:rPr>
              <w:t>Controls</w:t>
            </w:r>
          </w:p>
        </w:tc>
        <w:tc>
          <w:tcPr>
            <w:tcW w:w="2126" w:type="pct"/>
            <w:gridSpan w:val="7"/>
            <w:tcBorders>
              <w:left w:val="single" w:sz="4" w:space="0" w:color="auto"/>
              <w:bottom w:val="single" w:sz="4" w:space="0" w:color="auto"/>
              <w:right w:val="single" w:sz="4" w:space="0" w:color="auto"/>
            </w:tcBorders>
          </w:tcPr>
          <w:p w:rsidR="00795A61" w:rsidRPr="001C1EAD" w:rsidRDefault="00795A61" w:rsidP="00881758">
            <w:pPr>
              <w:spacing w:after="0"/>
              <w:rPr>
                <w:b/>
                <w:color w:val="000000"/>
                <w:sz w:val="18"/>
                <w:szCs w:val="20"/>
              </w:rPr>
            </w:pPr>
            <w:r w:rsidRPr="001C1EAD">
              <w:rPr>
                <w:b/>
                <w:color w:val="000000"/>
                <w:sz w:val="18"/>
                <w:szCs w:val="20"/>
              </w:rPr>
              <w:t>Risk of bladder cancer</w:t>
            </w:r>
          </w:p>
        </w:tc>
      </w:tr>
      <w:tr w:rsidR="00795A61" w:rsidRPr="001C1EAD">
        <w:trPr>
          <w:trHeight w:val="300"/>
        </w:trPr>
        <w:tc>
          <w:tcPr>
            <w:tcW w:w="462" w:type="pct"/>
            <w:tcBorders>
              <w:left w:val="nil"/>
              <w:bottom w:val="single" w:sz="4" w:space="0" w:color="auto"/>
              <w:right w:val="nil"/>
            </w:tcBorders>
            <w:shd w:val="clear" w:color="auto" w:fill="auto"/>
            <w:noWrap/>
            <w:vAlign w:val="center"/>
          </w:tcPr>
          <w:p w:rsidR="00795A61" w:rsidRPr="004F2AB3" w:rsidRDefault="00795A61" w:rsidP="00881758">
            <w:pPr>
              <w:spacing w:after="0" w:line="240" w:lineRule="auto"/>
              <w:rPr>
                <w:b/>
                <w:color w:val="000000"/>
                <w:sz w:val="18"/>
                <w:szCs w:val="20"/>
              </w:rPr>
            </w:pPr>
            <w:r w:rsidRPr="004F2AB3">
              <w:rPr>
                <w:b/>
                <w:color w:val="000000"/>
                <w:sz w:val="18"/>
                <w:szCs w:val="20"/>
              </w:rPr>
              <w:t>GENE</w:t>
            </w:r>
          </w:p>
        </w:tc>
        <w:tc>
          <w:tcPr>
            <w:tcW w:w="491" w:type="pct"/>
            <w:tcBorders>
              <w:left w:val="nil"/>
              <w:bottom w:val="single" w:sz="4" w:space="0" w:color="auto"/>
              <w:right w:val="single" w:sz="4" w:space="0" w:color="auto"/>
            </w:tcBorders>
            <w:vAlign w:val="center"/>
          </w:tcPr>
          <w:p w:rsidR="00795A61" w:rsidRPr="004F2AB3" w:rsidRDefault="00795A61" w:rsidP="00881758">
            <w:pPr>
              <w:spacing w:after="0" w:line="240" w:lineRule="auto"/>
              <w:rPr>
                <w:b/>
                <w:color w:val="000000"/>
                <w:sz w:val="18"/>
                <w:szCs w:val="20"/>
              </w:rPr>
            </w:pPr>
            <w:r w:rsidRPr="004F2AB3">
              <w:rPr>
                <w:b/>
                <w:color w:val="000000"/>
                <w:sz w:val="18"/>
                <w:szCs w:val="20"/>
              </w:rPr>
              <w:t>SNP</w:t>
            </w:r>
          </w:p>
        </w:tc>
        <w:tc>
          <w:tcPr>
            <w:tcW w:w="200" w:type="pct"/>
            <w:tcBorders>
              <w:left w:val="single" w:sz="4" w:space="0" w:color="auto"/>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00"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05" w:type="pct"/>
            <w:tcBorders>
              <w:left w:val="nil"/>
              <w:bottom w:val="single" w:sz="4" w:space="0" w:color="auto"/>
              <w:right w:val="single" w:sz="4" w:space="0" w:color="auto"/>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00" w:type="pct"/>
            <w:tcBorders>
              <w:left w:val="single" w:sz="4" w:space="0" w:color="auto"/>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00"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200"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Aa</w:t>
            </w:r>
          </w:p>
        </w:tc>
        <w:tc>
          <w:tcPr>
            <w:tcW w:w="349"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M</w:t>
            </w:r>
            <w:r>
              <w:rPr>
                <w:b/>
                <w:color w:val="000000"/>
                <w:sz w:val="18"/>
                <w:szCs w:val="20"/>
              </w:rPr>
              <w:t>AF</w:t>
            </w:r>
            <w:r w:rsidRPr="004F2AB3">
              <w:rPr>
                <w:b/>
                <w:color w:val="000000"/>
                <w:sz w:val="18"/>
                <w:szCs w:val="20"/>
              </w:rPr>
              <w:t>(a)</w:t>
            </w:r>
          </w:p>
        </w:tc>
        <w:tc>
          <w:tcPr>
            <w:tcW w:w="369" w:type="pct"/>
            <w:tcBorders>
              <w:left w:val="nil"/>
              <w:bottom w:val="single" w:sz="4" w:space="0" w:color="auto"/>
              <w:right w:val="single" w:sz="4" w:space="0" w:color="auto"/>
            </w:tcBorders>
            <w:vAlign w:val="center"/>
          </w:tcPr>
          <w:p w:rsidR="00795A61" w:rsidRPr="004F2AB3" w:rsidRDefault="00795A61" w:rsidP="00881758">
            <w:pPr>
              <w:spacing w:after="0" w:line="240" w:lineRule="auto"/>
              <w:jc w:val="center"/>
              <w:rPr>
                <w:b/>
                <w:color w:val="000000"/>
                <w:sz w:val="18"/>
                <w:szCs w:val="20"/>
                <w:vertAlign w:val="superscript"/>
              </w:rPr>
            </w:pPr>
            <w:r w:rsidRPr="004F2AB3">
              <w:rPr>
                <w:b/>
                <w:color w:val="000000"/>
                <w:sz w:val="18"/>
                <w:szCs w:val="20"/>
              </w:rPr>
              <w:t>pHWE</w:t>
            </w:r>
          </w:p>
        </w:tc>
        <w:tc>
          <w:tcPr>
            <w:tcW w:w="425" w:type="pct"/>
            <w:tcBorders>
              <w:left w:val="single" w:sz="4" w:space="0" w:color="auto"/>
              <w:bottom w:val="single" w:sz="4" w:space="0" w:color="auto"/>
              <w:right w:val="nil"/>
            </w:tcBorders>
            <w:shd w:val="clear" w:color="auto" w:fill="auto"/>
            <w:noWrap/>
            <w:vAlign w:val="center"/>
          </w:tcPr>
          <w:p w:rsidR="00795A61" w:rsidRPr="00585531" w:rsidRDefault="00795A61" w:rsidP="00881758">
            <w:pPr>
              <w:spacing w:after="0" w:line="240" w:lineRule="auto"/>
              <w:jc w:val="center"/>
              <w:rPr>
                <w:b/>
                <w:color w:val="000000"/>
                <w:sz w:val="18"/>
                <w:szCs w:val="20"/>
                <w:vertAlign w:val="superscript"/>
              </w:rPr>
            </w:pPr>
            <w:r w:rsidRPr="00585531">
              <w:rPr>
                <w:b/>
                <w:color w:val="000000"/>
                <w:sz w:val="18"/>
                <w:szCs w:val="20"/>
              </w:rPr>
              <w:t>OR (Cont./</w:t>
            </w:r>
            <w:r>
              <w:rPr>
                <w:b/>
                <w:color w:val="000000"/>
                <w:sz w:val="18"/>
                <w:szCs w:val="20"/>
              </w:rPr>
              <w:t>AA)</w:t>
            </w:r>
          </w:p>
        </w:tc>
        <w:tc>
          <w:tcPr>
            <w:tcW w:w="393"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95% CI</w:t>
            </w:r>
          </w:p>
        </w:tc>
        <w:tc>
          <w:tcPr>
            <w:tcW w:w="422" w:type="pct"/>
            <w:tcBorders>
              <w:left w:val="nil"/>
              <w:bottom w:val="single" w:sz="4" w:space="0" w:color="auto"/>
              <w:right w:val="nil"/>
            </w:tcBorders>
            <w:vAlign w:val="center"/>
          </w:tcPr>
          <w:p w:rsidR="00795A61" w:rsidRDefault="00795A61" w:rsidP="00881758">
            <w:pPr>
              <w:spacing w:after="0" w:line="240" w:lineRule="auto"/>
              <w:jc w:val="center"/>
              <w:rPr>
                <w:b/>
                <w:color w:val="000000"/>
                <w:sz w:val="18"/>
                <w:szCs w:val="20"/>
              </w:rPr>
            </w:pPr>
            <w:r w:rsidRPr="00585531">
              <w:rPr>
                <w:b/>
                <w:color w:val="000000"/>
                <w:sz w:val="18"/>
                <w:szCs w:val="20"/>
              </w:rPr>
              <w:t>OR</w:t>
            </w:r>
          </w:p>
          <w:p w:rsidR="00795A61" w:rsidRPr="00585531" w:rsidRDefault="00795A61" w:rsidP="00881758">
            <w:pPr>
              <w:spacing w:after="0" w:line="240" w:lineRule="auto"/>
              <w:jc w:val="center"/>
              <w:rPr>
                <w:b/>
                <w:color w:val="000000"/>
                <w:sz w:val="18"/>
                <w:szCs w:val="20"/>
                <w:vertAlign w:val="superscript"/>
              </w:rPr>
            </w:pPr>
            <w:r>
              <w:rPr>
                <w:b/>
                <w:color w:val="000000"/>
                <w:sz w:val="18"/>
                <w:szCs w:val="20"/>
              </w:rPr>
              <w:t>(Cont./Aa)</w:t>
            </w:r>
          </w:p>
        </w:tc>
        <w:tc>
          <w:tcPr>
            <w:tcW w:w="349" w:type="pct"/>
            <w:tcBorders>
              <w:left w:val="nil"/>
              <w:bottom w:val="single" w:sz="4" w:space="0" w:color="auto"/>
              <w:right w:val="nil"/>
            </w:tcBorders>
            <w:vAlign w:val="center"/>
          </w:tcPr>
          <w:p w:rsidR="00795A61" w:rsidRPr="004F2AB3" w:rsidRDefault="00795A61" w:rsidP="00881758">
            <w:pPr>
              <w:spacing w:after="0" w:line="240" w:lineRule="auto"/>
              <w:jc w:val="center"/>
              <w:rPr>
                <w:b/>
                <w:color w:val="000000"/>
                <w:sz w:val="18"/>
                <w:szCs w:val="20"/>
              </w:rPr>
            </w:pPr>
            <w:r w:rsidRPr="004F2AB3">
              <w:rPr>
                <w:b/>
                <w:color w:val="000000"/>
                <w:sz w:val="18"/>
                <w:szCs w:val="20"/>
              </w:rPr>
              <w:t>95% CI</w:t>
            </w:r>
          </w:p>
        </w:tc>
        <w:tc>
          <w:tcPr>
            <w:tcW w:w="301" w:type="pct"/>
            <w:gridSpan w:val="2"/>
            <w:tcBorders>
              <w:left w:val="nil"/>
              <w:bottom w:val="single" w:sz="4" w:space="0" w:color="auto"/>
              <w:right w:val="nil"/>
            </w:tcBorders>
            <w:vAlign w:val="center"/>
          </w:tcPr>
          <w:p w:rsidR="00795A61" w:rsidRPr="00505DCA" w:rsidRDefault="00795A61" w:rsidP="00881758">
            <w:pPr>
              <w:spacing w:after="0" w:line="240" w:lineRule="auto"/>
              <w:jc w:val="center"/>
              <w:rPr>
                <w:b/>
                <w:i/>
                <w:color w:val="000000"/>
                <w:sz w:val="18"/>
                <w:szCs w:val="20"/>
              </w:rPr>
            </w:pPr>
            <w:r w:rsidRPr="00505DCA">
              <w:rPr>
                <w:b/>
                <w:i/>
                <w:color w:val="000000"/>
                <w:sz w:val="18"/>
                <w:szCs w:val="20"/>
              </w:rPr>
              <w:t>p-value</w:t>
            </w:r>
          </w:p>
        </w:tc>
        <w:tc>
          <w:tcPr>
            <w:tcW w:w="236" w:type="pct"/>
            <w:tcBorders>
              <w:left w:val="nil"/>
              <w:bottom w:val="single" w:sz="4" w:space="0" w:color="auto"/>
              <w:right w:val="single" w:sz="4" w:space="0" w:color="auto"/>
            </w:tcBorders>
            <w:shd w:val="clear" w:color="auto" w:fill="auto"/>
            <w:noWrap/>
            <w:vAlign w:val="center"/>
          </w:tcPr>
          <w:p w:rsidR="00795A61" w:rsidRPr="004F2AB3" w:rsidRDefault="00795A61" w:rsidP="00881758">
            <w:pPr>
              <w:spacing w:after="0" w:line="240" w:lineRule="auto"/>
              <w:jc w:val="center"/>
              <w:rPr>
                <w:b/>
                <w:color w:val="000000"/>
                <w:sz w:val="18"/>
                <w:szCs w:val="20"/>
              </w:rPr>
            </w:pPr>
            <w:r>
              <w:rPr>
                <w:b/>
                <w:color w:val="000000"/>
                <w:sz w:val="18"/>
                <w:szCs w:val="20"/>
              </w:rPr>
              <w:t>MOI</w:t>
            </w:r>
          </w:p>
        </w:tc>
      </w:tr>
      <w:tr w:rsidR="00795A61" w:rsidRPr="001C1EAD">
        <w:trPr>
          <w:trHeight w:val="300"/>
        </w:trPr>
        <w:tc>
          <w:tcPr>
            <w:tcW w:w="462" w:type="pct"/>
            <w:tcBorders>
              <w:left w:val="nil"/>
              <w:bottom w:val="nil"/>
              <w:right w:val="nil"/>
            </w:tcBorders>
            <w:shd w:val="clear" w:color="auto" w:fill="auto"/>
            <w:noWrap/>
            <w:vAlign w:val="center"/>
          </w:tcPr>
          <w:p w:rsidR="00795A61" w:rsidRPr="001C1EAD" w:rsidRDefault="00795A61" w:rsidP="00881758">
            <w:pPr>
              <w:spacing w:after="0"/>
              <w:rPr>
                <w:i/>
                <w:color w:val="000000"/>
                <w:sz w:val="18"/>
                <w:szCs w:val="18"/>
              </w:rPr>
            </w:pPr>
            <w:r w:rsidRPr="001C1EAD">
              <w:rPr>
                <w:i/>
                <w:color w:val="000000"/>
                <w:sz w:val="18"/>
                <w:szCs w:val="18"/>
              </w:rPr>
              <w:t>BAK1</w:t>
            </w:r>
          </w:p>
        </w:tc>
        <w:tc>
          <w:tcPr>
            <w:tcW w:w="491" w:type="pct"/>
            <w:tcBorders>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rs210137</w:t>
            </w:r>
          </w:p>
        </w:tc>
        <w:tc>
          <w:tcPr>
            <w:tcW w:w="200" w:type="pct"/>
            <w:tcBorders>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588</w:t>
            </w:r>
          </w:p>
        </w:tc>
        <w:tc>
          <w:tcPr>
            <w:tcW w:w="200" w:type="pct"/>
            <w:tcBorders>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385</w:t>
            </w:r>
          </w:p>
        </w:tc>
        <w:tc>
          <w:tcPr>
            <w:tcW w:w="205" w:type="pct"/>
            <w:tcBorders>
              <w:top w:val="single" w:sz="4" w:space="0" w:color="auto"/>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52</w:t>
            </w:r>
          </w:p>
        </w:tc>
        <w:tc>
          <w:tcPr>
            <w:tcW w:w="200" w:type="pct"/>
            <w:tcBorders>
              <w:top w:val="single" w:sz="4" w:space="0" w:color="auto"/>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643</w:t>
            </w:r>
          </w:p>
        </w:tc>
        <w:tc>
          <w:tcPr>
            <w:tcW w:w="200"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382</w:t>
            </w:r>
          </w:p>
        </w:tc>
        <w:tc>
          <w:tcPr>
            <w:tcW w:w="200"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64</w:t>
            </w:r>
          </w:p>
        </w:tc>
        <w:tc>
          <w:tcPr>
            <w:tcW w:w="349" w:type="pct"/>
            <w:tcBorders>
              <w:top w:val="single" w:sz="4" w:space="0" w:color="auto"/>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0.23</w:t>
            </w:r>
          </w:p>
        </w:tc>
        <w:tc>
          <w:tcPr>
            <w:tcW w:w="369" w:type="pct"/>
            <w:tcBorders>
              <w:top w:val="single" w:sz="4" w:space="0" w:color="auto"/>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0.50</w:t>
            </w:r>
          </w:p>
        </w:tc>
        <w:tc>
          <w:tcPr>
            <w:tcW w:w="425" w:type="pct"/>
            <w:tcBorders>
              <w:top w:val="single" w:sz="4" w:space="0" w:color="auto"/>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1.22</w:t>
            </w:r>
          </w:p>
        </w:tc>
        <w:tc>
          <w:tcPr>
            <w:tcW w:w="393"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0.98-1.51</w:t>
            </w:r>
          </w:p>
        </w:tc>
        <w:tc>
          <w:tcPr>
            <w:tcW w:w="422"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0.94</w:t>
            </w:r>
          </w:p>
        </w:tc>
        <w:tc>
          <w:tcPr>
            <w:tcW w:w="349"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0.76-1.16</w:t>
            </w:r>
          </w:p>
        </w:tc>
        <w:tc>
          <w:tcPr>
            <w:tcW w:w="230" w:type="pct"/>
            <w:tcBorders>
              <w:top w:val="single" w:sz="4" w:space="0" w:color="auto"/>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307" w:type="pct"/>
            <w:gridSpan w:val="2"/>
            <w:tcBorders>
              <w:top w:val="single" w:sz="4" w:space="0" w:color="auto"/>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sz w:val="18"/>
                <w:szCs w:val="18"/>
              </w:rPr>
            </w:pPr>
            <w:r w:rsidRPr="001C1EAD">
              <w:rPr>
                <w:i/>
                <w:caps/>
                <w:sz w:val="18"/>
                <w:szCs w:val="18"/>
              </w:rPr>
              <w:t>birc5</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rs2856271</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418</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488</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121</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130</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0.34</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0.50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1.18</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0.86-1.61</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0.79</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0.56-1.10</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birc5</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rs3764384</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440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476</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107</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515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455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118</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0.32</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0.26</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1.19</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0.86-1.65</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0.74</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0.51-1.06</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birc5</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rs744120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572</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389</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66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606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411</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68</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0.25</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0.94</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0.86</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0.72-1.02</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1.14</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0.97-1.35</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kern w:val="24"/>
                <w:sz w:val="18"/>
                <w:szCs w:val="18"/>
              </w:rPr>
            </w:pPr>
            <w:r w:rsidRPr="001C1EAD">
              <w:rPr>
                <w:color w:val="000000"/>
                <w:kern w:val="24"/>
                <w:sz w:val="18"/>
                <w:szCs w:val="18"/>
              </w:rPr>
              <w:t>0.004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fas</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rs3758483</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802</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215</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833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242</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0.12</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1.14</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0.90-1.46</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0.74</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0.57-0.96</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fas</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rs983751</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800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215</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833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242</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12</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0.12</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0.26</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1.13</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0.88-1.44</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0.75</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0.58-0.98</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0.007</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gadd45a</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rs520820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596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375</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56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667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357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64</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0.22</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0.08</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1.02</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0.82-1.26</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1.31</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1.06-1.61</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gadd45a</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rs532446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478</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446</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102</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493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115</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0.33</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0.80</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0.65-0.99</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1.14</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0.93-1.41</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0.005</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igf1r</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rs11247380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464</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457</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107</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513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461</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111</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0.31</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0.62</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1.25</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1.01-1.55</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0.98</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0.79-1.21</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0.049</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igf1r</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rs2684811</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643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332</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50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705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336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0.20</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0.39</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1.25</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1.00-1.55</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0.95</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0.76-1.18</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0.03</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igf1r</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rs8032477</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357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503</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166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399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514</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174</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0.40</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0.70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0.84</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0.62-1.14</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0.19</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0.90-1.56</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myc</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rs4645943</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945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78</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998</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0.04</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0.13</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1.17</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0.83-1.66</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0.67</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0.45-1.02</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0.01</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pmaip1</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rs11663656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658</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331</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38</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666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375</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46</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0.21</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0.53</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0.76</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0.59-0.98</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1.10</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0.88-1.39</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0.008</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pmaip1</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rs4558496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620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360</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47</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616</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404</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66</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0.25</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0.97</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0.78-1.20</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0.75</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0.60-0.93</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0.04</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pmaip1</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rs7240884</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449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476</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471</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138</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0.34</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0.20</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0.84</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0.71-0.98</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1.05</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0.89-1.22</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Add.</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tp63</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rs11715710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503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431</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90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551</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459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76</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0.28</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0.15</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0.94</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0.62-1.44</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1.64</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1.15-2.35</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0.01</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tp63</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rs12107036</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270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511</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247</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310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533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239</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0.47</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0.76</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1.34</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1.05-1.71</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0.89</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0.69-1.16</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0.006</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tp63</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rs6797409</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918</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106</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3</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980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103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3</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0.05</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0.75</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0.85</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0.58-1.23</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1.32</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0.95-1.83</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0.03</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Dom.</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tp63</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rs7612589</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759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254</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15</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823</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251</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13</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0.13</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0.27</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2.20</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1.01-4.79</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0.31</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0.07-1.37</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0.002</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nil"/>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tp63</w:t>
            </w:r>
          </w:p>
        </w:tc>
        <w:tc>
          <w:tcPr>
            <w:tcW w:w="491" w:type="pct"/>
            <w:tcBorders>
              <w:top w:val="nil"/>
              <w:left w:val="nil"/>
              <w:bottom w:val="nil"/>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rs7624324</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489</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435</w:t>
            </w:r>
          </w:p>
        </w:tc>
        <w:tc>
          <w:tcPr>
            <w:tcW w:w="205"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100</w:t>
            </w:r>
          </w:p>
        </w:tc>
        <w:tc>
          <w:tcPr>
            <w:tcW w:w="200" w:type="pct"/>
            <w:tcBorders>
              <w:top w:val="nil"/>
              <w:left w:val="single" w:sz="4" w:space="0" w:color="auto"/>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547</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450</w:t>
            </w:r>
          </w:p>
        </w:tc>
        <w:tc>
          <w:tcPr>
            <w:tcW w:w="200"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86</w:t>
            </w:r>
          </w:p>
        </w:tc>
        <w:tc>
          <w:tcPr>
            <w:tcW w:w="349" w:type="pct"/>
            <w:tcBorders>
              <w:top w:val="nil"/>
              <w:left w:val="nil"/>
              <w:bottom w:val="nil"/>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0.29</w:t>
            </w:r>
          </w:p>
        </w:tc>
        <w:tc>
          <w:tcPr>
            <w:tcW w:w="369" w:type="pct"/>
            <w:tcBorders>
              <w:top w:val="nil"/>
              <w:left w:val="nil"/>
              <w:bottom w:val="nil"/>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0.66</w:t>
            </w:r>
          </w:p>
        </w:tc>
        <w:tc>
          <w:tcPr>
            <w:tcW w:w="425" w:type="pct"/>
            <w:tcBorders>
              <w:top w:val="nil"/>
              <w:left w:val="single" w:sz="4" w:space="0" w:color="auto"/>
              <w:bottom w:val="nil"/>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1.56</w:t>
            </w:r>
          </w:p>
        </w:tc>
        <w:tc>
          <w:tcPr>
            <w:tcW w:w="393"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1.10-2.21</w:t>
            </w:r>
          </w:p>
        </w:tc>
        <w:tc>
          <w:tcPr>
            <w:tcW w:w="422"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0.96</w:t>
            </w:r>
          </w:p>
        </w:tc>
        <w:tc>
          <w:tcPr>
            <w:tcW w:w="349"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0.65-1.41</w:t>
            </w:r>
          </w:p>
        </w:tc>
        <w:tc>
          <w:tcPr>
            <w:tcW w:w="230" w:type="pct"/>
            <w:tcBorders>
              <w:top w:val="nil"/>
              <w:left w:val="nil"/>
              <w:bottom w:val="nil"/>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0.02</w:t>
            </w:r>
          </w:p>
        </w:tc>
        <w:tc>
          <w:tcPr>
            <w:tcW w:w="307" w:type="pct"/>
            <w:gridSpan w:val="2"/>
            <w:tcBorders>
              <w:top w:val="nil"/>
              <w:left w:val="nil"/>
              <w:bottom w:val="nil"/>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1C1EAD">
        <w:trPr>
          <w:trHeight w:val="300"/>
        </w:trPr>
        <w:tc>
          <w:tcPr>
            <w:tcW w:w="462" w:type="pct"/>
            <w:tcBorders>
              <w:top w:val="nil"/>
              <w:left w:val="nil"/>
              <w:bottom w:val="single" w:sz="4" w:space="0" w:color="auto"/>
              <w:right w:val="nil"/>
            </w:tcBorders>
            <w:shd w:val="clear" w:color="auto" w:fill="auto"/>
            <w:noWrap/>
            <w:vAlign w:val="center"/>
          </w:tcPr>
          <w:p w:rsidR="00795A61" w:rsidRPr="001C1EAD" w:rsidRDefault="00795A61" w:rsidP="00881758">
            <w:pPr>
              <w:spacing w:after="0"/>
              <w:rPr>
                <w:i/>
                <w:caps/>
                <w:color w:val="000000"/>
                <w:sz w:val="18"/>
                <w:szCs w:val="18"/>
              </w:rPr>
            </w:pPr>
            <w:r w:rsidRPr="001C1EAD">
              <w:rPr>
                <w:i/>
                <w:caps/>
                <w:color w:val="000000"/>
                <w:sz w:val="18"/>
                <w:szCs w:val="18"/>
              </w:rPr>
              <w:t>tp73</w:t>
            </w:r>
          </w:p>
        </w:tc>
        <w:tc>
          <w:tcPr>
            <w:tcW w:w="491" w:type="pct"/>
            <w:tcBorders>
              <w:top w:val="nil"/>
              <w:left w:val="nil"/>
              <w:bottom w:val="single" w:sz="4" w:space="0" w:color="auto"/>
              <w:right w:val="single" w:sz="4" w:space="0" w:color="auto"/>
            </w:tcBorders>
            <w:vAlign w:val="center"/>
          </w:tcPr>
          <w:p w:rsidR="00795A61" w:rsidRPr="001C1EAD" w:rsidRDefault="00795A61" w:rsidP="00881758">
            <w:pPr>
              <w:spacing w:after="0"/>
              <w:rPr>
                <w:color w:val="000000"/>
                <w:sz w:val="18"/>
                <w:szCs w:val="18"/>
              </w:rPr>
            </w:pPr>
            <w:r w:rsidRPr="001C1EAD">
              <w:rPr>
                <w:color w:val="000000"/>
                <w:sz w:val="18"/>
                <w:szCs w:val="18"/>
              </w:rPr>
              <w:t>rs3765753</w:t>
            </w:r>
          </w:p>
        </w:tc>
        <w:tc>
          <w:tcPr>
            <w:tcW w:w="200" w:type="pct"/>
            <w:tcBorders>
              <w:top w:val="nil"/>
              <w:left w:val="single" w:sz="4" w:space="0" w:color="auto"/>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504</w:t>
            </w:r>
          </w:p>
        </w:tc>
        <w:tc>
          <w:tcPr>
            <w:tcW w:w="200"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422</w:t>
            </w:r>
          </w:p>
        </w:tc>
        <w:tc>
          <w:tcPr>
            <w:tcW w:w="205" w:type="pct"/>
            <w:tcBorders>
              <w:top w:val="nil"/>
              <w:left w:val="nil"/>
              <w:bottom w:val="single" w:sz="4" w:space="0" w:color="auto"/>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101</w:t>
            </w:r>
          </w:p>
        </w:tc>
        <w:tc>
          <w:tcPr>
            <w:tcW w:w="200" w:type="pct"/>
            <w:tcBorders>
              <w:top w:val="nil"/>
              <w:left w:val="single" w:sz="4" w:space="0" w:color="auto"/>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487</w:t>
            </w:r>
          </w:p>
        </w:tc>
        <w:tc>
          <w:tcPr>
            <w:tcW w:w="200"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492</w:t>
            </w:r>
          </w:p>
        </w:tc>
        <w:tc>
          <w:tcPr>
            <w:tcW w:w="200"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107</w:t>
            </w:r>
          </w:p>
        </w:tc>
        <w:tc>
          <w:tcPr>
            <w:tcW w:w="349" w:type="pct"/>
            <w:tcBorders>
              <w:top w:val="nil"/>
              <w:left w:val="nil"/>
              <w:bottom w:val="single" w:sz="4" w:space="0" w:color="auto"/>
              <w:right w:val="nil"/>
            </w:tcBorders>
            <w:vAlign w:val="center"/>
          </w:tcPr>
          <w:p w:rsidR="00795A61" w:rsidRPr="001C1EAD" w:rsidRDefault="00795A61" w:rsidP="00881758">
            <w:pPr>
              <w:spacing w:after="0"/>
              <w:jc w:val="center"/>
              <w:rPr>
                <w:color w:val="000000"/>
                <w:sz w:val="18"/>
                <w:szCs w:val="18"/>
              </w:rPr>
            </w:pPr>
            <w:r w:rsidRPr="001C1EAD">
              <w:rPr>
                <w:color w:val="000000"/>
                <w:sz w:val="18"/>
                <w:szCs w:val="18"/>
              </w:rPr>
              <w:t>0.33</w:t>
            </w:r>
          </w:p>
        </w:tc>
        <w:tc>
          <w:tcPr>
            <w:tcW w:w="369" w:type="pct"/>
            <w:tcBorders>
              <w:top w:val="nil"/>
              <w:left w:val="nil"/>
              <w:bottom w:val="single" w:sz="4" w:space="0" w:color="auto"/>
              <w:right w:val="single" w:sz="4" w:space="0" w:color="auto"/>
            </w:tcBorders>
            <w:vAlign w:val="center"/>
          </w:tcPr>
          <w:p w:rsidR="00795A61" w:rsidRPr="001C1EAD" w:rsidRDefault="00795A61" w:rsidP="00881758">
            <w:pPr>
              <w:spacing w:after="0"/>
              <w:jc w:val="center"/>
              <w:rPr>
                <w:color w:val="000000"/>
                <w:sz w:val="18"/>
                <w:szCs w:val="18"/>
              </w:rPr>
            </w:pPr>
            <w:r w:rsidRPr="001C1EAD">
              <w:rPr>
                <w:color w:val="000000"/>
                <w:sz w:val="18"/>
                <w:szCs w:val="18"/>
              </w:rPr>
              <w:t>0.30</w:t>
            </w:r>
          </w:p>
        </w:tc>
        <w:tc>
          <w:tcPr>
            <w:tcW w:w="425" w:type="pct"/>
            <w:tcBorders>
              <w:top w:val="nil"/>
              <w:left w:val="single" w:sz="4" w:space="0" w:color="auto"/>
              <w:bottom w:val="single" w:sz="4" w:space="0" w:color="auto"/>
              <w:right w:val="nil"/>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1.25</w:t>
            </w:r>
          </w:p>
        </w:tc>
        <w:tc>
          <w:tcPr>
            <w:tcW w:w="393"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0.89-1.75</w:t>
            </w:r>
          </w:p>
        </w:tc>
        <w:tc>
          <w:tcPr>
            <w:tcW w:w="422"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0.80</w:t>
            </w:r>
          </w:p>
        </w:tc>
        <w:tc>
          <w:tcPr>
            <w:tcW w:w="349"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0.55-1.15</w:t>
            </w:r>
          </w:p>
        </w:tc>
        <w:tc>
          <w:tcPr>
            <w:tcW w:w="230" w:type="pct"/>
            <w:tcBorders>
              <w:top w:val="nil"/>
              <w:left w:val="nil"/>
              <w:bottom w:val="single" w:sz="4" w:space="0" w:color="auto"/>
              <w:right w:val="nil"/>
            </w:tcBorders>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0.03</w:t>
            </w:r>
          </w:p>
        </w:tc>
        <w:tc>
          <w:tcPr>
            <w:tcW w:w="307" w:type="pct"/>
            <w:gridSpan w:val="2"/>
            <w:tcBorders>
              <w:top w:val="nil"/>
              <w:left w:val="nil"/>
              <w:bottom w:val="single" w:sz="4" w:space="0" w:color="auto"/>
              <w:right w:val="single" w:sz="4" w:space="0" w:color="auto"/>
            </w:tcBorders>
            <w:shd w:val="clear" w:color="auto" w:fill="auto"/>
            <w:noWrap/>
            <w:vAlign w:val="center"/>
          </w:tcPr>
          <w:p w:rsidR="00795A61" w:rsidRPr="001C1EAD" w:rsidRDefault="00795A61" w:rsidP="00881758">
            <w:pPr>
              <w:spacing w:after="0" w:line="240" w:lineRule="auto"/>
              <w:jc w:val="center"/>
              <w:rPr>
                <w:color w:val="000000"/>
                <w:sz w:val="18"/>
                <w:szCs w:val="18"/>
              </w:rPr>
            </w:pPr>
            <w:r w:rsidRPr="001C1EAD">
              <w:rPr>
                <w:color w:val="000000"/>
                <w:sz w:val="18"/>
                <w:szCs w:val="18"/>
              </w:rPr>
              <w:t>Rec.</w:t>
            </w:r>
          </w:p>
        </w:tc>
      </w:tr>
      <w:tr w:rsidR="00795A61" w:rsidRPr="00920EDF">
        <w:trPr>
          <w:trHeight w:val="300"/>
        </w:trPr>
        <w:tc>
          <w:tcPr>
            <w:tcW w:w="5000" w:type="pct"/>
            <w:gridSpan w:val="17"/>
            <w:tcBorders>
              <w:left w:val="nil"/>
              <w:bottom w:val="nil"/>
              <w:right w:val="nil"/>
            </w:tcBorders>
            <w:shd w:val="clear" w:color="auto" w:fill="auto"/>
            <w:noWrap/>
            <w:vAlign w:val="center"/>
          </w:tcPr>
          <w:p w:rsidR="00795A61" w:rsidRPr="001564F8" w:rsidRDefault="00795A61" w:rsidP="00881758">
            <w:pPr>
              <w:spacing w:after="0" w:line="240" w:lineRule="auto"/>
              <w:rPr>
                <w:color w:val="000000"/>
                <w:sz w:val="18"/>
                <w:szCs w:val="18"/>
                <w:lang w:val="en-US"/>
              </w:rPr>
            </w:pPr>
            <w:r w:rsidRPr="001564F8">
              <w:rPr>
                <w:i/>
                <w:color w:val="000000"/>
                <w:sz w:val="18"/>
                <w:szCs w:val="18"/>
                <w:lang w:val="en-US"/>
              </w:rPr>
              <w:t>MAF(a)</w:t>
            </w:r>
            <w:r w:rsidRPr="001564F8">
              <w:rPr>
                <w:color w:val="000000"/>
                <w:sz w:val="18"/>
                <w:szCs w:val="18"/>
                <w:lang w:val="en-US"/>
              </w:rPr>
              <w:t xml:space="preserve">, minor allele frequency); </w:t>
            </w:r>
            <w:r w:rsidRPr="001564F8">
              <w:rPr>
                <w:i/>
                <w:color w:val="000000"/>
                <w:sz w:val="18"/>
                <w:szCs w:val="18"/>
                <w:lang w:val="en-US"/>
              </w:rPr>
              <w:t>pHWE</w:t>
            </w:r>
            <w:r w:rsidRPr="001564F8">
              <w:rPr>
                <w:color w:val="000000"/>
                <w:sz w:val="18"/>
                <w:szCs w:val="18"/>
                <w:lang w:val="en-US"/>
              </w:rPr>
              <w:t xml:space="preserve">, </w:t>
            </w:r>
            <w:r w:rsidRPr="001564F8">
              <w:rPr>
                <w:i/>
                <w:color w:val="000000"/>
                <w:sz w:val="18"/>
                <w:szCs w:val="18"/>
                <w:lang w:val="en-US"/>
              </w:rPr>
              <w:t>p-value</w:t>
            </w:r>
            <w:r w:rsidRPr="001564F8">
              <w:rPr>
                <w:color w:val="000000"/>
                <w:sz w:val="18"/>
                <w:szCs w:val="18"/>
                <w:lang w:val="en-US"/>
              </w:rPr>
              <w:t xml:space="preserve"> from the Hardy Weinberg equilibrium test; </w:t>
            </w:r>
            <w:r w:rsidRPr="001564F8">
              <w:rPr>
                <w:i/>
                <w:color w:val="000000"/>
                <w:sz w:val="18"/>
                <w:szCs w:val="18"/>
                <w:lang w:val="en-US"/>
              </w:rPr>
              <w:t>MOI</w:t>
            </w:r>
            <w:r w:rsidRPr="001564F8">
              <w:rPr>
                <w:color w:val="000000"/>
                <w:sz w:val="18"/>
                <w:szCs w:val="18"/>
                <w:lang w:val="en-US"/>
              </w:rPr>
              <w:t>, Mode of Inheritance</w:t>
            </w:r>
          </w:p>
          <w:p w:rsidR="00795A61" w:rsidRPr="001564F8" w:rsidRDefault="00795A61" w:rsidP="00881758">
            <w:pPr>
              <w:spacing w:after="0" w:line="240" w:lineRule="auto"/>
              <w:rPr>
                <w:color w:val="000000"/>
                <w:sz w:val="18"/>
                <w:szCs w:val="18"/>
                <w:lang w:val="en-US"/>
              </w:rPr>
            </w:pPr>
            <w:r w:rsidRPr="001564F8">
              <w:rPr>
                <w:color w:val="000000"/>
                <w:sz w:val="18"/>
                <w:szCs w:val="18"/>
                <w:lang w:val="en-US"/>
              </w:rPr>
              <w:t>All models are adjusted for age, gender, region and smoking status</w:t>
            </w:r>
          </w:p>
        </w:tc>
      </w:tr>
    </w:tbl>
    <w:p w:rsidR="00795A61" w:rsidRPr="001564F8" w:rsidRDefault="00795A61" w:rsidP="00795A61">
      <w:pPr>
        <w:spacing w:after="120"/>
        <w:jc w:val="both"/>
        <w:rPr>
          <w:lang w:val="en-US"/>
        </w:rPr>
      </w:pPr>
    </w:p>
    <w:p w:rsidR="001C05BD" w:rsidRPr="00795A61" w:rsidRDefault="001C05BD">
      <w:pPr>
        <w:rPr>
          <w:lang w:val="en-US"/>
        </w:rPr>
      </w:pPr>
    </w:p>
    <w:sectPr w:rsidR="001C05BD" w:rsidRPr="00795A61" w:rsidSect="00616CDB">
      <w:footerReference w:type="default" r:id="rId7"/>
      <w:pgSz w:w="16840" w:h="11907" w:orient="landscape" w:code="9"/>
      <w:pgMar w:top="1418" w:right="1701" w:bottom="1418" w:left="1701" w:header="0" w:footer="709"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4AAB" w:rsidRDefault="00F74AAB">
      <w:pPr>
        <w:spacing w:after="0" w:line="240" w:lineRule="auto"/>
      </w:pPr>
      <w:r>
        <w:separator/>
      </w:r>
    </w:p>
  </w:endnote>
  <w:endnote w:type="continuationSeparator" w:id="0">
    <w:p w:rsidR="00F74AAB" w:rsidRDefault="00F74A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578" w:rsidRDefault="00F74AAB">
    <w:pPr>
      <w:pStyle w:val="Piedepgina"/>
      <w:jc w:val="right"/>
    </w:pPr>
    <w:r>
      <w:rPr>
        <w:noProof/>
      </w:rPr>
      <w:fldChar w:fldCharType="begin"/>
    </w:r>
    <w:r>
      <w:rPr>
        <w:noProof/>
      </w:rPr>
      <w:instrText xml:space="preserve"> PAGE   \* MERGEFORMAT </w:instrText>
    </w:r>
    <w:r>
      <w:rPr>
        <w:noProof/>
      </w:rPr>
      <w:fldChar w:fldCharType="separate"/>
    </w:r>
    <w:r w:rsidR="00BF79AE">
      <w:rPr>
        <w:noProof/>
      </w:rPr>
      <w:t>2</w:t>
    </w:r>
    <w:r>
      <w:rPr>
        <w:noProof/>
      </w:rPr>
      <w:fldChar w:fldCharType="end"/>
    </w:r>
  </w:p>
  <w:p w:rsidR="007D2578" w:rsidRDefault="00F74AAB">
    <w:pPr>
      <w:widowControl w:val="0"/>
      <w:autoSpaceDE w:val="0"/>
      <w:autoSpaceDN w:val="0"/>
      <w:adjustRightInd w:val="0"/>
      <w:spacing w:after="0" w:line="240" w:lineRule="auto"/>
      <w:rPr>
        <w:sz w:val="10"/>
        <w:szCs w:val="1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4AAB" w:rsidRDefault="00F74AAB">
      <w:pPr>
        <w:spacing w:after="0" w:line="240" w:lineRule="auto"/>
      </w:pPr>
      <w:r>
        <w:separator/>
      </w:r>
    </w:p>
  </w:footnote>
  <w:footnote w:type="continuationSeparator" w:id="0">
    <w:p w:rsidR="00F74AAB" w:rsidRDefault="00F74AA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F820C0"/>
    <w:multiLevelType w:val="hybridMultilevel"/>
    <w:tmpl w:val="5CD0EA3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2FEF2EF6"/>
    <w:multiLevelType w:val="hybridMultilevel"/>
    <w:tmpl w:val="66369984"/>
    <w:lvl w:ilvl="0" w:tplc="98AA45DC">
      <w:start w:val="1"/>
      <w:numFmt w:val="bullet"/>
      <w:lvlText w:val="-"/>
      <w:lvlJc w:val="left"/>
      <w:pPr>
        <w:ind w:left="720" w:hanging="360"/>
      </w:pPr>
      <w:rPr>
        <w:rFonts w:ascii="Calibri" w:eastAsia="Calibri" w:hAnsi="Calibri" w:cs="Times New Roman"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3A45175F"/>
    <w:multiLevelType w:val="hybridMultilevel"/>
    <w:tmpl w:val="5CD0EA3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5D886EBD"/>
    <w:multiLevelType w:val="hybridMultilevel"/>
    <w:tmpl w:val="5CD0EA32"/>
    <w:lvl w:ilvl="0" w:tplc="040A000F">
      <w:start w:val="1"/>
      <w:numFmt w:val="decimal"/>
      <w:lvlText w:val="%1."/>
      <w:lvlJc w:val="left"/>
      <w:pPr>
        <w:ind w:left="2062"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652A3D1E"/>
    <w:multiLevelType w:val="hybridMultilevel"/>
    <w:tmpl w:val="5CD0EA32"/>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A61"/>
    <w:rsid w:val="00176117"/>
    <w:rsid w:val="001C05BD"/>
    <w:rsid w:val="003C7B14"/>
    <w:rsid w:val="00633586"/>
    <w:rsid w:val="00795A61"/>
    <w:rsid w:val="007C3B9F"/>
    <w:rsid w:val="00AA24BF"/>
    <w:rsid w:val="00B03696"/>
    <w:rsid w:val="00BF79AE"/>
    <w:rsid w:val="00D62AB0"/>
    <w:rsid w:val="00F06021"/>
    <w:rsid w:val="00F74AA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D7AFEA-50D1-487B-B388-E7501328F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5A61"/>
    <w:rPr>
      <w:rFonts w:eastAsia="Times New Roman"/>
      <w:lang w:eastAsia="es-ES"/>
    </w:rPr>
  </w:style>
  <w:style w:type="paragraph" w:styleId="Ttulo1">
    <w:name w:val="heading 1"/>
    <w:basedOn w:val="Normal"/>
    <w:link w:val="Ttulo1Car"/>
    <w:uiPriority w:val="9"/>
    <w:qFormat/>
    <w:rsid w:val="00795A61"/>
    <w:pPr>
      <w:spacing w:before="100" w:beforeAutospacing="1" w:after="100" w:afterAutospacing="1" w:line="240" w:lineRule="auto"/>
      <w:outlineLvl w:val="0"/>
    </w:pPr>
    <w:rPr>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5A61"/>
    <w:rPr>
      <w:rFonts w:eastAsia="Times New Roman"/>
      <w:b/>
      <w:bCs/>
      <w:kern w:val="36"/>
      <w:sz w:val="48"/>
      <w:szCs w:val="48"/>
      <w:lang w:eastAsia="es-ES"/>
    </w:rPr>
  </w:style>
  <w:style w:type="paragraph" w:styleId="Textodeglobo">
    <w:name w:val="Balloon Text"/>
    <w:basedOn w:val="Normal"/>
    <w:link w:val="TextodegloboCar"/>
    <w:uiPriority w:val="99"/>
    <w:semiHidden/>
    <w:unhideWhenUsed/>
    <w:rsid w:val="00795A6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95A61"/>
    <w:rPr>
      <w:rFonts w:ascii="Tahoma" w:eastAsia="Times New Roman" w:hAnsi="Tahoma" w:cs="Tahoma"/>
      <w:sz w:val="16"/>
      <w:szCs w:val="16"/>
      <w:lang w:eastAsia="es-ES"/>
    </w:rPr>
  </w:style>
  <w:style w:type="paragraph" w:styleId="Encabezado">
    <w:name w:val="header"/>
    <w:basedOn w:val="Normal"/>
    <w:link w:val="EncabezadoCar"/>
    <w:uiPriority w:val="99"/>
    <w:semiHidden/>
    <w:unhideWhenUsed/>
    <w:rsid w:val="00795A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795A61"/>
    <w:rPr>
      <w:rFonts w:eastAsia="Times New Roman"/>
      <w:lang w:eastAsia="es-ES"/>
    </w:rPr>
  </w:style>
  <w:style w:type="paragraph" w:styleId="Piedepgina">
    <w:name w:val="footer"/>
    <w:basedOn w:val="Normal"/>
    <w:link w:val="PiedepginaCar"/>
    <w:uiPriority w:val="99"/>
    <w:unhideWhenUsed/>
    <w:rsid w:val="00795A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95A61"/>
    <w:rPr>
      <w:rFonts w:eastAsia="Times New Roman"/>
      <w:lang w:eastAsia="es-ES"/>
    </w:rPr>
  </w:style>
  <w:style w:type="paragraph" w:styleId="Textocomentario">
    <w:name w:val="annotation text"/>
    <w:basedOn w:val="Normal"/>
    <w:link w:val="TextocomentarioCar"/>
    <w:uiPriority w:val="99"/>
    <w:semiHidden/>
    <w:unhideWhenUsed/>
    <w:rsid w:val="00795A61"/>
    <w:pPr>
      <w:spacing w:line="240" w:lineRule="auto"/>
    </w:pPr>
    <w:rPr>
      <w:rFonts w:ascii="Calibri" w:eastAsia="Calibri" w:hAnsi="Calibri"/>
      <w:sz w:val="20"/>
      <w:szCs w:val="20"/>
      <w:lang w:val="en-US" w:eastAsia="en-US"/>
    </w:rPr>
  </w:style>
  <w:style w:type="character" w:customStyle="1" w:styleId="TextocomentarioCar">
    <w:name w:val="Texto comentario Car"/>
    <w:basedOn w:val="Fuentedeprrafopredeter"/>
    <w:link w:val="Textocomentario"/>
    <w:uiPriority w:val="99"/>
    <w:semiHidden/>
    <w:rsid w:val="00795A61"/>
    <w:rPr>
      <w:rFonts w:ascii="Calibri" w:eastAsia="Calibri" w:hAnsi="Calibri"/>
      <w:sz w:val="20"/>
      <w:szCs w:val="20"/>
      <w:lang w:val="en-US"/>
    </w:rPr>
  </w:style>
  <w:style w:type="character" w:customStyle="1" w:styleId="AsuntodelcomentarioCar">
    <w:name w:val="Asunto del comentario Car"/>
    <w:basedOn w:val="TextocomentarioCar"/>
    <w:link w:val="Asuntodelcomentario"/>
    <w:uiPriority w:val="99"/>
    <w:semiHidden/>
    <w:rsid w:val="00795A61"/>
    <w:rPr>
      <w:rFonts w:ascii="Calibri" w:eastAsia="Calibri" w:hAnsi="Calibri"/>
      <w:b/>
      <w:bCs/>
      <w:sz w:val="20"/>
      <w:szCs w:val="20"/>
      <w:lang w:val="en-US"/>
    </w:rPr>
  </w:style>
  <w:style w:type="paragraph" w:styleId="Asuntodelcomentario">
    <w:name w:val="annotation subject"/>
    <w:basedOn w:val="Textocomentario"/>
    <w:next w:val="Textocomentario"/>
    <w:link w:val="AsuntodelcomentarioCar"/>
    <w:uiPriority w:val="99"/>
    <w:semiHidden/>
    <w:unhideWhenUsed/>
    <w:rsid w:val="00795A61"/>
    <w:rPr>
      <w:b/>
      <w:bCs/>
    </w:rPr>
  </w:style>
  <w:style w:type="character" w:customStyle="1" w:styleId="AsuntodelcomentarioCar1">
    <w:name w:val="Asunto del comentario Car1"/>
    <w:basedOn w:val="TextocomentarioCar"/>
    <w:uiPriority w:val="99"/>
    <w:semiHidden/>
    <w:rsid w:val="00795A61"/>
    <w:rPr>
      <w:rFonts w:ascii="Calibri" w:eastAsia="Calibri" w:hAnsi="Calibri"/>
      <w:b/>
      <w:bCs/>
      <w:sz w:val="20"/>
      <w:szCs w:val="20"/>
      <w:lang w:val="en-US"/>
    </w:rPr>
  </w:style>
  <w:style w:type="paragraph" w:styleId="Revisin">
    <w:name w:val="Revision"/>
    <w:hidden/>
    <w:uiPriority w:val="99"/>
    <w:semiHidden/>
    <w:rsid w:val="00795A61"/>
    <w:pPr>
      <w:spacing w:after="0" w:line="240" w:lineRule="auto"/>
    </w:pPr>
    <w:rPr>
      <w:rFonts w:ascii="Calibri" w:eastAsia="Calibri" w:hAnsi="Calibri"/>
      <w:lang w:val="en-US"/>
    </w:rPr>
  </w:style>
  <w:style w:type="table" w:styleId="Tablaconcuadrcula">
    <w:name w:val="Table Grid"/>
    <w:basedOn w:val="Tablanormal"/>
    <w:uiPriority w:val="59"/>
    <w:rsid w:val="00795A61"/>
    <w:pPr>
      <w:spacing w:after="0" w:line="240" w:lineRule="auto"/>
    </w:pPr>
    <w:rPr>
      <w:rFonts w:eastAsia="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basedOn w:val="Fuentedeprrafopredeter"/>
    <w:uiPriority w:val="99"/>
    <w:unhideWhenUsed/>
    <w:rsid w:val="00795A61"/>
    <w:rPr>
      <w:color w:val="0000FF"/>
      <w:u w:val="single"/>
    </w:rPr>
  </w:style>
  <w:style w:type="character" w:customStyle="1" w:styleId="apple-converted-space">
    <w:name w:val="apple-converted-space"/>
    <w:basedOn w:val="Fuentedeprrafopredeter"/>
    <w:rsid w:val="00795A61"/>
  </w:style>
  <w:style w:type="character" w:styleId="Nmerodepgina">
    <w:name w:val="page number"/>
    <w:basedOn w:val="Fuentedeprrafopredeter"/>
    <w:uiPriority w:val="99"/>
    <w:semiHidden/>
    <w:unhideWhenUsed/>
    <w:rsid w:val="00795A61"/>
  </w:style>
  <w:style w:type="paragraph" w:styleId="HTMLconformatoprevio">
    <w:name w:val="HTML Preformatted"/>
    <w:basedOn w:val="Normal"/>
    <w:link w:val="HTMLconformatoprevioCar"/>
    <w:uiPriority w:val="99"/>
    <w:rsid w:val="00795A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Calibri" w:hAnsi="Courier" w:cs="Courier"/>
      <w:sz w:val="20"/>
      <w:szCs w:val="20"/>
      <w:lang w:val="es-ES_tradnl" w:eastAsia="es-ES_tradnl"/>
    </w:rPr>
  </w:style>
  <w:style w:type="character" w:customStyle="1" w:styleId="HTMLconformatoprevioCar">
    <w:name w:val="HTML con formato previo Car"/>
    <w:basedOn w:val="Fuentedeprrafopredeter"/>
    <w:link w:val="HTMLconformatoprevio"/>
    <w:uiPriority w:val="99"/>
    <w:rsid w:val="00795A61"/>
    <w:rPr>
      <w:rFonts w:ascii="Courier" w:eastAsia="Calibri" w:hAnsi="Courier" w:cs="Courier"/>
      <w:sz w:val="20"/>
      <w:szCs w:val="20"/>
      <w:lang w:val="es-ES_tradnl" w:eastAsia="es-ES_tradnl"/>
    </w:rPr>
  </w:style>
  <w:style w:type="paragraph" w:styleId="Prrafodelista">
    <w:name w:val="List Paragraph"/>
    <w:basedOn w:val="Normal"/>
    <w:uiPriority w:val="34"/>
    <w:qFormat/>
    <w:rsid w:val="00795A61"/>
    <w:pPr>
      <w:ind w:left="720"/>
      <w:contextualSpacing/>
    </w:pPr>
    <w:rPr>
      <w:rFonts w:ascii="Calibri" w:eastAsia="Calibri" w:hAnsi="Calibri"/>
      <w:lang w:val="en-US" w:eastAsia="en-US"/>
    </w:rPr>
  </w:style>
  <w:style w:type="character" w:customStyle="1" w:styleId="st">
    <w:name w:val="st"/>
    <w:basedOn w:val="Fuentedeprrafopredeter"/>
    <w:rsid w:val="00795A61"/>
  </w:style>
  <w:style w:type="character" w:customStyle="1" w:styleId="highlight">
    <w:name w:val="highlight"/>
    <w:basedOn w:val="Fuentedeprrafopredeter"/>
    <w:rsid w:val="00795A61"/>
  </w:style>
  <w:style w:type="paragraph" w:styleId="Textosinformato">
    <w:name w:val="Plain Text"/>
    <w:basedOn w:val="Normal"/>
    <w:link w:val="TextosinformatoCar"/>
    <w:uiPriority w:val="99"/>
    <w:rsid w:val="00795A61"/>
    <w:pPr>
      <w:spacing w:after="0" w:line="240" w:lineRule="auto"/>
    </w:pPr>
    <w:rPr>
      <w:rFonts w:ascii="Courier New" w:hAnsi="Courier New"/>
      <w:sz w:val="20"/>
      <w:szCs w:val="20"/>
      <w:lang w:val="es-ES_tradnl"/>
    </w:rPr>
  </w:style>
  <w:style w:type="character" w:customStyle="1" w:styleId="TextosinformatoCar">
    <w:name w:val="Texto sin formato Car"/>
    <w:basedOn w:val="Fuentedeprrafopredeter"/>
    <w:link w:val="Textosinformato"/>
    <w:uiPriority w:val="99"/>
    <w:rsid w:val="00795A61"/>
    <w:rPr>
      <w:rFonts w:ascii="Courier New" w:eastAsia="Times New Roman" w:hAnsi="Courier New"/>
      <w:sz w:val="20"/>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2597</Words>
  <Characters>14288</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CNIO</Company>
  <LinksUpToDate>false</LinksUpToDate>
  <CharactersWithSpaces>16852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spineda</dc:creator>
  <cp:lastModifiedBy>Lopez.Victoria</cp:lastModifiedBy>
  <cp:revision>2</cp:revision>
  <dcterms:created xsi:type="dcterms:W3CDTF">2020-11-25T10:42:00Z</dcterms:created>
  <dcterms:modified xsi:type="dcterms:W3CDTF">2020-11-25T10:42:00Z</dcterms:modified>
</cp:coreProperties>
</file>